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9B" w:rsidRDefault="00A2369B" w:rsidP="00A2369B">
      <w:pPr>
        <w:pStyle w:val="Nagwek4"/>
        <w:pBdr>
          <w:bottom w:val="single" w:sz="6" w:space="1" w:color="auto"/>
        </w:pBdr>
        <w:rPr>
          <w:rFonts w:ascii="Arial" w:hAnsi="Arial" w:cs="Arial"/>
          <w:b w:val="0"/>
          <w:sz w:val="20"/>
        </w:rPr>
      </w:pPr>
      <w:r>
        <w:rPr>
          <w:rFonts w:ascii="Arial" w:hAnsi="Arial" w:cs="Arial"/>
          <w:b w:val="0"/>
          <w:sz w:val="20"/>
        </w:rPr>
        <w:t>SST.  Nr 18  D - 05.01.03    „Nawierzchnia żwirowa”</w:t>
      </w:r>
    </w:p>
    <w:p w:rsidR="00A2369B" w:rsidRDefault="00A2369B" w:rsidP="00A2369B">
      <w:pPr>
        <w:pStyle w:val="Nagwek1"/>
        <w:rPr>
          <w:rFonts w:ascii="Arial" w:hAnsi="Arial" w:cs="Arial"/>
          <w:sz w:val="10"/>
          <w:szCs w:val="10"/>
        </w:rPr>
      </w:pPr>
      <w:bookmarkStart w:id="0" w:name="_Toc420816680"/>
      <w:r>
        <w:rPr>
          <w:rFonts w:ascii="Arial" w:hAnsi="Arial" w:cs="Arial"/>
          <w:sz w:val="22"/>
          <w:szCs w:val="22"/>
        </w:rPr>
        <w:t>1.  WSTĘP</w:t>
      </w:r>
      <w:bookmarkEnd w:id="0"/>
    </w:p>
    <w:p w:rsidR="00A2369B" w:rsidRDefault="00A2369B" w:rsidP="00A2369B">
      <w:pPr>
        <w:rPr>
          <w:rFonts w:ascii="Arial" w:hAnsi="Arial" w:cs="Arial"/>
          <w:sz w:val="10"/>
          <w:szCs w:val="10"/>
        </w:rPr>
      </w:pPr>
    </w:p>
    <w:p w:rsidR="00A2369B" w:rsidRDefault="00A2369B" w:rsidP="00A2369B">
      <w:pPr>
        <w:rPr>
          <w:rFonts w:ascii="Arial" w:hAnsi="Arial" w:cs="Arial"/>
          <w:b/>
          <w:sz w:val="10"/>
          <w:szCs w:val="10"/>
        </w:rPr>
      </w:pPr>
      <w:r>
        <w:rPr>
          <w:rFonts w:ascii="Arial" w:hAnsi="Arial" w:cs="Arial"/>
          <w:b/>
          <w:sz w:val="22"/>
          <w:szCs w:val="22"/>
        </w:rPr>
        <w:t>1.1. Przedmiot SST</w:t>
      </w:r>
    </w:p>
    <w:p w:rsidR="00A2369B" w:rsidRDefault="00A2369B" w:rsidP="00A2369B">
      <w:pPr>
        <w:rPr>
          <w:rFonts w:ascii="Arial" w:hAnsi="Arial" w:cs="Arial"/>
          <w:b/>
          <w:sz w:val="10"/>
          <w:szCs w:val="10"/>
        </w:rPr>
      </w:pPr>
    </w:p>
    <w:p w:rsidR="00A2369B" w:rsidRDefault="00A2369B" w:rsidP="00A2369B">
      <w:pPr>
        <w:rPr>
          <w:rFonts w:ascii="Arial" w:hAnsi="Arial" w:cs="Arial"/>
        </w:rPr>
      </w:pPr>
      <w:r>
        <w:rPr>
          <w:rFonts w:ascii="Arial" w:hAnsi="Arial" w:cs="Arial"/>
        </w:rPr>
        <w:t xml:space="preserve">Przedmiotem niniejszej szczegółowej specyfikacji technicznej (SST) są  wymagania dotyczące wykonania i odbioru robót związanych z wykonaniem nawierzchni żwirowej przy </w:t>
      </w:r>
      <w:r>
        <w:rPr>
          <w:rFonts w:ascii="Arial" w:hAnsi="Arial" w:cs="Arial"/>
          <w:b/>
        </w:rPr>
        <w:t>Przebudowy drogi gminnej w m. Jazy.</w:t>
      </w:r>
    </w:p>
    <w:p w:rsidR="00A2369B" w:rsidRDefault="00A2369B" w:rsidP="00A2369B">
      <w:pPr>
        <w:rPr>
          <w:rFonts w:ascii="Arial" w:hAnsi="Arial" w:cs="Arial"/>
          <w:b/>
          <w:sz w:val="10"/>
          <w:szCs w:val="10"/>
        </w:rPr>
      </w:pPr>
    </w:p>
    <w:p w:rsidR="00A2369B" w:rsidRDefault="00A2369B" w:rsidP="00A2369B">
      <w:pPr>
        <w:rPr>
          <w:rFonts w:ascii="Arial" w:hAnsi="Arial" w:cs="Arial"/>
          <w:b/>
          <w:bCs/>
          <w:iCs/>
          <w:sz w:val="22"/>
          <w:szCs w:val="22"/>
        </w:rPr>
      </w:pPr>
      <w:r>
        <w:rPr>
          <w:rFonts w:ascii="Arial" w:hAnsi="Arial" w:cs="Arial"/>
          <w:b/>
          <w:bCs/>
          <w:iCs/>
          <w:sz w:val="22"/>
          <w:szCs w:val="22"/>
        </w:rPr>
        <w:t>1.2. Zakres stosowania SST</w:t>
      </w:r>
    </w:p>
    <w:p w:rsidR="00A2369B" w:rsidRDefault="00A2369B" w:rsidP="00A2369B">
      <w:pPr>
        <w:rPr>
          <w:rFonts w:ascii="Arial" w:hAnsi="Arial" w:cs="Arial"/>
          <w:b/>
          <w:bCs/>
          <w:iCs/>
          <w:sz w:val="10"/>
          <w:szCs w:val="10"/>
        </w:rPr>
      </w:pPr>
    </w:p>
    <w:p w:rsidR="00A2369B" w:rsidRDefault="00A2369B" w:rsidP="00A2369B">
      <w:pPr>
        <w:pStyle w:val="Tekstpodstawowywcity"/>
        <w:ind w:left="0"/>
        <w:rPr>
          <w:rFonts w:ascii="Arial" w:hAnsi="Arial" w:cs="Arial"/>
          <w:sz w:val="20"/>
          <w:szCs w:val="20"/>
        </w:rPr>
      </w:pPr>
      <w:r>
        <w:rPr>
          <w:rFonts w:ascii="Arial" w:hAnsi="Arial" w:cs="Arial"/>
          <w:sz w:val="20"/>
          <w:szCs w:val="20"/>
        </w:rPr>
        <w:t xml:space="preserve">Szczegółowa specyfikacja techniczna jest stosowana jako dokument przetargowy i kontraktowy przy zlecaniu i realizacji robót wymienionych w punkcie 1.1. </w:t>
      </w:r>
    </w:p>
    <w:p w:rsidR="00A2369B" w:rsidRDefault="00A2369B" w:rsidP="00A2369B">
      <w:pPr>
        <w:pStyle w:val="Tekstpodstawowywcity"/>
        <w:ind w:left="0"/>
        <w:rPr>
          <w:rFonts w:ascii="Arial" w:hAnsi="Arial" w:cs="Arial"/>
          <w:b/>
          <w:bCs/>
          <w:iCs/>
          <w:sz w:val="22"/>
          <w:szCs w:val="22"/>
        </w:rPr>
      </w:pPr>
      <w:r>
        <w:rPr>
          <w:rFonts w:ascii="Arial" w:hAnsi="Arial" w:cs="Arial"/>
          <w:b/>
          <w:bCs/>
          <w:iCs/>
          <w:sz w:val="22"/>
          <w:szCs w:val="22"/>
        </w:rPr>
        <w:t>1.3. Zakres robót objętych SST</w:t>
      </w:r>
    </w:p>
    <w:p w:rsidR="00A2369B" w:rsidRDefault="00A2369B" w:rsidP="00A2369B">
      <w:pPr>
        <w:rPr>
          <w:rFonts w:ascii="Arial" w:hAnsi="Arial" w:cs="Arial"/>
          <w:b/>
          <w:bCs/>
        </w:rPr>
      </w:pPr>
      <w:r>
        <w:rPr>
          <w:rFonts w:ascii="Arial" w:hAnsi="Arial" w:cs="Arial"/>
        </w:rPr>
        <w:t xml:space="preserve">Ustalenia zawarte w niniejszej specyfikacji dotyczą zasad prowadzonych robót  związanych z wykonaniem nawierzchni żwirowej: </w:t>
      </w:r>
      <w:r>
        <w:rPr>
          <w:rFonts w:ascii="Arial" w:hAnsi="Arial" w:cs="Arial"/>
          <w:b/>
          <w:bCs/>
        </w:rPr>
        <w:t xml:space="preserve">roboty  wymienione  w  przedmiarze  robót  - </w:t>
      </w:r>
      <w:r w:rsidR="00AB2CDF">
        <w:rPr>
          <w:rFonts w:ascii="Arial" w:hAnsi="Arial" w:cs="Arial"/>
          <w:b/>
          <w:bCs/>
        </w:rPr>
        <w:t xml:space="preserve">cz. II </w:t>
      </w:r>
      <w:r>
        <w:rPr>
          <w:rFonts w:ascii="Arial" w:hAnsi="Arial" w:cs="Arial"/>
          <w:b/>
          <w:bCs/>
        </w:rPr>
        <w:t xml:space="preserve">poz.  </w:t>
      </w:r>
      <w:r w:rsidR="00AB2CDF">
        <w:rPr>
          <w:rFonts w:ascii="Arial" w:hAnsi="Arial" w:cs="Arial"/>
          <w:b/>
          <w:bCs/>
        </w:rPr>
        <w:t>70, 71</w:t>
      </w:r>
      <w:bookmarkStart w:id="1" w:name="_GoBack"/>
      <w:bookmarkEnd w:id="1"/>
      <w:r>
        <w:rPr>
          <w:rFonts w:ascii="Arial" w:hAnsi="Arial" w:cs="Arial"/>
          <w:b/>
          <w:bCs/>
        </w:rPr>
        <w:t>.</w:t>
      </w:r>
    </w:p>
    <w:p w:rsidR="00A2369B" w:rsidRDefault="00A2369B" w:rsidP="00A2369B">
      <w:pPr>
        <w:pStyle w:val="Nagwek2"/>
        <w:rPr>
          <w:rFonts w:ascii="Arial" w:hAnsi="Arial" w:cs="Arial"/>
          <w:color w:val="auto"/>
          <w:sz w:val="10"/>
          <w:szCs w:val="10"/>
        </w:rPr>
      </w:pPr>
      <w:r w:rsidRPr="00A2369B">
        <w:rPr>
          <w:rFonts w:ascii="Arial" w:hAnsi="Arial" w:cs="Arial"/>
          <w:color w:val="auto"/>
          <w:sz w:val="22"/>
          <w:szCs w:val="22"/>
        </w:rPr>
        <w:t>1.4. Określenia podstawowe</w:t>
      </w:r>
    </w:p>
    <w:p w:rsidR="00A2369B" w:rsidRPr="00A2369B" w:rsidRDefault="00A2369B" w:rsidP="00A2369B"/>
    <w:p w:rsidR="00A2369B" w:rsidRPr="00A2369B" w:rsidRDefault="00A2369B" w:rsidP="00A2369B">
      <w:pPr>
        <w:rPr>
          <w:rFonts w:ascii="Arial" w:hAnsi="Arial" w:cs="Arial"/>
        </w:rPr>
      </w:pPr>
      <w:r w:rsidRPr="00A2369B">
        <w:rPr>
          <w:rFonts w:ascii="Arial" w:hAnsi="Arial" w:cs="Arial"/>
          <w:b/>
        </w:rPr>
        <w:t xml:space="preserve">1.4.1. </w:t>
      </w:r>
      <w:r w:rsidRPr="00A2369B">
        <w:rPr>
          <w:rFonts w:ascii="Arial" w:hAnsi="Arial" w:cs="Arial"/>
        </w:rPr>
        <w:t xml:space="preserve">Nawierzchnia twarda nieulepszona - nawierzchnia nie przystosowana do szybkiego ruchu samochodowego ze względu na pylenie, nierówności, ograniczony komfort jazdy - wibracje i hałas, jak np. nawierzchnia tłuczniowa, </w:t>
      </w:r>
      <w:proofErr w:type="spellStart"/>
      <w:r w:rsidRPr="00A2369B">
        <w:rPr>
          <w:rFonts w:ascii="Arial" w:hAnsi="Arial" w:cs="Arial"/>
        </w:rPr>
        <w:t>brukowcowa</w:t>
      </w:r>
      <w:proofErr w:type="spellEnd"/>
      <w:r w:rsidRPr="00A2369B">
        <w:rPr>
          <w:rFonts w:ascii="Arial" w:hAnsi="Arial" w:cs="Arial"/>
        </w:rPr>
        <w:t xml:space="preserve"> lub żwirowa.</w:t>
      </w:r>
    </w:p>
    <w:p w:rsidR="00A2369B" w:rsidRPr="00A2369B" w:rsidRDefault="00A2369B" w:rsidP="00A2369B">
      <w:pPr>
        <w:spacing w:before="120"/>
        <w:rPr>
          <w:rFonts w:ascii="Arial" w:hAnsi="Arial" w:cs="Arial"/>
        </w:rPr>
      </w:pPr>
      <w:r w:rsidRPr="00A2369B">
        <w:rPr>
          <w:rFonts w:ascii="Arial" w:hAnsi="Arial" w:cs="Arial"/>
          <w:b/>
        </w:rPr>
        <w:t xml:space="preserve">1.4.2. </w:t>
      </w:r>
      <w:r w:rsidRPr="00A2369B">
        <w:rPr>
          <w:rFonts w:ascii="Arial" w:hAnsi="Arial" w:cs="Arial"/>
        </w:rPr>
        <w:t>Nawierzchnia żwirowa - nawierzchnia zaliczana do twardych nieulepszonych, której warstwa ścieralna jest wykonana z mieszanki żwirowej bez użycia lepiszcza czy spoiwa.</w:t>
      </w:r>
    </w:p>
    <w:p w:rsidR="00A2369B" w:rsidRPr="00A2369B" w:rsidRDefault="00A2369B" w:rsidP="00A2369B">
      <w:pPr>
        <w:spacing w:before="120"/>
        <w:rPr>
          <w:rFonts w:ascii="Arial" w:hAnsi="Arial" w:cs="Arial"/>
        </w:rPr>
      </w:pPr>
      <w:r w:rsidRPr="00A2369B">
        <w:rPr>
          <w:rFonts w:ascii="Arial" w:hAnsi="Arial" w:cs="Arial"/>
          <w:b/>
        </w:rPr>
        <w:t xml:space="preserve">1.4.3. </w:t>
      </w:r>
      <w:r w:rsidRPr="00A2369B">
        <w:rPr>
          <w:rFonts w:ascii="Arial" w:hAnsi="Arial" w:cs="Arial"/>
        </w:rPr>
        <w:t>Pozostałe określenia podstawowe są zgodne z obowiązującymi, odpowiednimi polskimi no</w:t>
      </w:r>
      <w:r>
        <w:rPr>
          <w:rFonts w:ascii="Arial" w:hAnsi="Arial" w:cs="Arial"/>
        </w:rPr>
        <w:t>rmami i definicjami podanymi w S</w:t>
      </w:r>
      <w:r w:rsidRPr="00A2369B">
        <w:rPr>
          <w:rFonts w:ascii="Arial" w:hAnsi="Arial" w:cs="Arial"/>
        </w:rPr>
        <w:t xml:space="preserve">ST D-00.00.00 „Wymagania ogólne” </w:t>
      </w:r>
      <w:r>
        <w:rPr>
          <w:rFonts w:ascii="Arial" w:hAnsi="Arial" w:cs="Arial"/>
        </w:rPr>
        <w:t>p</w:t>
      </w:r>
      <w:r w:rsidRPr="00A2369B">
        <w:rPr>
          <w:rFonts w:ascii="Arial" w:hAnsi="Arial" w:cs="Arial"/>
        </w:rPr>
        <w:t>kt 1.4.</w:t>
      </w:r>
    </w:p>
    <w:p w:rsidR="00A2369B" w:rsidRDefault="00A2369B" w:rsidP="00A2369B">
      <w:pPr>
        <w:pStyle w:val="Nagwek2"/>
        <w:rPr>
          <w:rFonts w:ascii="Arial" w:hAnsi="Arial" w:cs="Arial"/>
          <w:color w:val="auto"/>
          <w:sz w:val="10"/>
          <w:szCs w:val="10"/>
        </w:rPr>
      </w:pPr>
      <w:r w:rsidRPr="00A2369B">
        <w:rPr>
          <w:rFonts w:ascii="Arial" w:hAnsi="Arial" w:cs="Arial"/>
          <w:color w:val="auto"/>
          <w:sz w:val="22"/>
          <w:szCs w:val="22"/>
        </w:rPr>
        <w:t>1.5. Ogólne wymagania dotyczące robót</w:t>
      </w:r>
    </w:p>
    <w:p w:rsidR="00A2369B" w:rsidRPr="00A2369B" w:rsidRDefault="00A2369B" w:rsidP="00A2369B"/>
    <w:p w:rsidR="00A2369B" w:rsidRPr="00A2369B" w:rsidRDefault="00A2369B" w:rsidP="00A2369B">
      <w:pPr>
        <w:rPr>
          <w:rFonts w:ascii="Arial" w:hAnsi="Arial" w:cs="Arial"/>
        </w:rPr>
      </w:pPr>
      <w:r w:rsidRPr="00A2369B">
        <w:rPr>
          <w:rFonts w:ascii="Arial" w:hAnsi="Arial" w:cs="Arial"/>
        </w:rPr>
        <w:t>Ogólne wyma</w:t>
      </w:r>
      <w:r>
        <w:rPr>
          <w:rFonts w:ascii="Arial" w:hAnsi="Arial" w:cs="Arial"/>
        </w:rPr>
        <w:t>gania dotyczące robót podano w S</w:t>
      </w:r>
      <w:r w:rsidRPr="00A2369B">
        <w:rPr>
          <w:rFonts w:ascii="Arial" w:hAnsi="Arial" w:cs="Arial"/>
        </w:rPr>
        <w:t>ST D-00.00.00 „Wymagania ogólne” pkt 1.5.</w:t>
      </w:r>
    </w:p>
    <w:p w:rsidR="00A2369B" w:rsidRPr="00A2369B" w:rsidRDefault="00A2369B" w:rsidP="00A2369B">
      <w:pPr>
        <w:pStyle w:val="Nagwek1"/>
        <w:rPr>
          <w:rFonts w:ascii="Arial" w:hAnsi="Arial" w:cs="Arial"/>
          <w:sz w:val="22"/>
          <w:szCs w:val="22"/>
        </w:rPr>
      </w:pPr>
      <w:bookmarkStart w:id="2" w:name="_Toc423749683"/>
      <w:r w:rsidRPr="00A2369B">
        <w:rPr>
          <w:rFonts w:ascii="Arial" w:hAnsi="Arial" w:cs="Arial"/>
          <w:sz w:val="22"/>
          <w:szCs w:val="22"/>
        </w:rPr>
        <w:t>2. materiały</w:t>
      </w:r>
      <w:bookmarkEnd w:id="2"/>
    </w:p>
    <w:p w:rsidR="00A2369B" w:rsidRDefault="00A2369B" w:rsidP="00A2369B">
      <w:pPr>
        <w:pStyle w:val="Nagwek2"/>
        <w:rPr>
          <w:rFonts w:ascii="Arial" w:hAnsi="Arial" w:cs="Arial"/>
          <w:color w:val="auto"/>
          <w:sz w:val="10"/>
          <w:szCs w:val="10"/>
        </w:rPr>
      </w:pPr>
      <w:r w:rsidRPr="00A2369B">
        <w:rPr>
          <w:rFonts w:ascii="Arial" w:hAnsi="Arial" w:cs="Arial"/>
          <w:color w:val="auto"/>
          <w:sz w:val="22"/>
          <w:szCs w:val="22"/>
        </w:rPr>
        <w:t>2.1. Ogólne wymagania dotyczące materiałów</w:t>
      </w:r>
    </w:p>
    <w:p w:rsidR="00A2369B" w:rsidRPr="00A2369B" w:rsidRDefault="00A2369B" w:rsidP="00A2369B">
      <w:pPr>
        <w:rPr>
          <w:sz w:val="10"/>
          <w:szCs w:val="10"/>
        </w:rPr>
      </w:pPr>
    </w:p>
    <w:p w:rsidR="00A2369B" w:rsidRPr="00A2369B" w:rsidRDefault="00A2369B" w:rsidP="00A2369B">
      <w:pPr>
        <w:rPr>
          <w:rFonts w:ascii="Arial" w:hAnsi="Arial" w:cs="Arial"/>
        </w:rPr>
      </w:pPr>
      <w:r w:rsidRPr="00A2369B">
        <w:rPr>
          <w:rFonts w:ascii="Arial" w:hAnsi="Arial" w:cs="Arial"/>
        </w:rPr>
        <w:t>Ogólne wymagania dotyczące materiałów, ich pozysk</w:t>
      </w:r>
      <w:r w:rsidR="008D3841">
        <w:rPr>
          <w:rFonts w:ascii="Arial" w:hAnsi="Arial" w:cs="Arial"/>
        </w:rPr>
        <w:t>iwania i składowania, podano w SST D-</w:t>
      </w:r>
      <w:r w:rsidRPr="00A2369B">
        <w:rPr>
          <w:rFonts w:ascii="Arial" w:hAnsi="Arial" w:cs="Arial"/>
        </w:rPr>
        <w:t>00.00.00 „Wymagania ogólne” pkt 2.</w:t>
      </w:r>
    </w:p>
    <w:p w:rsidR="00A2369B" w:rsidRDefault="00A2369B" w:rsidP="00A2369B">
      <w:pPr>
        <w:pStyle w:val="Nagwek2"/>
        <w:rPr>
          <w:rFonts w:ascii="Arial" w:hAnsi="Arial" w:cs="Arial"/>
          <w:color w:val="auto"/>
          <w:sz w:val="10"/>
          <w:szCs w:val="10"/>
        </w:rPr>
      </w:pPr>
      <w:r w:rsidRPr="008D3841">
        <w:rPr>
          <w:rFonts w:ascii="Arial" w:hAnsi="Arial" w:cs="Arial"/>
          <w:color w:val="auto"/>
          <w:sz w:val="22"/>
          <w:szCs w:val="22"/>
        </w:rPr>
        <w:t>2.2. Materiały do nawierzchni żwirowych</w:t>
      </w:r>
    </w:p>
    <w:p w:rsidR="008D3841" w:rsidRPr="008D3841" w:rsidRDefault="008D3841" w:rsidP="008D3841">
      <w:pPr>
        <w:rPr>
          <w:sz w:val="10"/>
          <w:szCs w:val="10"/>
        </w:rPr>
      </w:pPr>
    </w:p>
    <w:p w:rsidR="00A2369B" w:rsidRPr="00A2369B" w:rsidRDefault="00A2369B" w:rsidP="00A2369B">
      <w:pPr>
        <w:rPr>
          <w:rFonts w:ascii="Arial" w:hAnsi="Arial" w:cs="Arial"/>
        </w:rPr>
      </w:pPr>
      <w:r w:rsidRPr="00A2369B">
        <w:rPr>
          <w:rFonts w:ascii="Arial" w:hAnsi="Arial" w:cs="Arial"/>
        </w:rPr>
        <w:t>Mieszanka żwirowa powinna mieć optymalne uziarnienie. Krzywa uziarnienia mieszanki powinna  mieścić się w granicach krzywych obszaru dobrego uziarnienia, podanych na rys. 1. Skład ramowy uziarnienia podano w tablicy 1.</w:t>
      </w:r>
    </w:p>
    <w:p w:rsidR="00A2369B" w:rsidRPr="00A2369B" w:rsidRDefault="00A2369B" w:rsidP="00A2369B">
      <w:pPr>
        <w:rPr>
          <w:rFonts w:ascii="Arial" w:hAnsi="Arial" w:cs="Arial"/>
        </w:rPr>
      </w:pPr>
      <w:r w:rsidRPr="00A2369B">
        <w:rPr>
          <w:rFonts w:ascii="Arial" w:hAnsi="Arial" w:cs="Arial"/>
        </w:rPr>
        <w:t>Kruszywo naturalne użyte do mieszanki żwirowej powinno spełniać wymagania normy PN-B-11111 [2] i PN-B-11113 [3], a ponadto wskaźnik piaskowy wg BN-64/8931-01 [4] dla mieszanki o uziarnieniu:</w:t>
      </w:r>
    </w:p>
    <w:p w:rsidR="00A2369B" w:rsidRPr="00A2369B" w:rsidRDefault="00A2369B" w:rsidP="00A2369B">
      <w:pPr>
        <w:rPr>
          <w:rFonts w:ascii="Arial" w:hAnsi="Arial" w:cs="Arial"/>
        </w:rPr>
      </w:pPr>
      <w:r w:rsidRPr="00A2369B">
        <w:rPr>
          <w:rFonts w:ascii="Arial" w:hAnsi="Arial" w:cs="Arial"/>
        </w:rPr>
        <w:t>od 0 do 20 mm, WP powinien wynosić od 25 do 40,</w:t>
      </w:r>
    </w:p>
    <w:p w:rsidR="00A2369B" w:rsidRPr="00A2369B" w:rsidRDefault="00A2369B" w:rsidP="00A2369B">
      <w:pPr>
        <w:rPr>
          <w:rFonts w:ascii="Arial" w:hAnsi="Arial" w:cs="Arial"/>
        </w:rPr>
      </w:pPr>
      <w:r w:rsidRPr="00A2369B">
        <w:rPr>
          <w:rFonts w:ascii="Arial" w:hAnsi="Arial" w:cs="Arial"/>
        </w:rPr>
        <w:t>od 0 do 50 mm, WP powinien wynosić od 55 do 60.</w:t>
      </w:r>
    </w:p>
    <w:p w:rsidR="00A2369B" w:rsidRPr="00A2369B" w:rsidRDefault="00A2369B" w:rsidP="00A2369B">
      <w:pPr>
        <w:rPr>
          <w:rFonts w:ascii="Arial" w:hAnsi="Arial" w:cs="Arial"/>
        </w:rPr>
      </w:pPr>
    </w:p>
    <w:p w:rsidR="00A2369B" w:rsidRPr="00A2369B" w:rsidRDefault="00A2369B" w:rsidP="00A2369B">
      <w:pPr>
        <w:spacing w:before="120" w:after="120"/>
        <w:rPr>
          <w:rFonts w:ascii="Arial" w:hAnsi="Arial" w:cs="Arial"/>
        </w:rPr>
      </w:pPr>
      <w:r w:rsidRPr="00A2369B">
        <w:rPr>
          <w:rFonts w:ascii="Arial" w:hAnsi="Arial" w:cs="Arial"/>
        </w:rPr>
        <w:t>Tablica 1. Skład ramowy uziarnienia optymalnej mieszanki żwirowej</w:t>
      </w:r>
    </w:p>
    <w:tbl>
      <w:tblPr>
        <w:tblW w:w="0" w:type="auto"/>
        <w:tblLayout w:type="fixed"/>
        <w:tblCellMar>
          <w:left w:w="70" w:type="dxa"/>
          <w:right w:w="70" w:type="dxa"/>
        </w:tblCellMar>
        <w:tblLook w:val="04A0" w:firstRow="1" w:lastRow="0" w:firstColumn="1" w:lastColumn="0" w:noHBand="0" w:noVBand="1"/>
      </w:tblPr>
      <w:tblGrid>
        <w:gridCol w:w="1488"/>
        <w:gridCol w:w="14"/>
        <w:gridCol w:w="1502"/>
        <w:gridCol w:w="1461"/>
        <w:gridCol w:w="1523"/>
        <w:gridCol w:w="1523"/>
      </w:tblGrid>
      <w:tr w:rsidR="00A2369B" w:rsidRPr="00A2369B" w:rsidTr="00A2369B">
        <w:tc>
          <w:tcPr>
            <w:tcW w:w="7511" w:type="dxa"/>
            <w:gridSpan w:val="6"/>
            <w:tcBorders>
              <w:top w:val="single" w:sz="6" w:space="0" w:color="auto"/>
              <w:left w:val="single" w:sz="6" w:space="0" w:color="auto"/>
              <w:bottom w:val="nil"/>
              <w:right w:val="single" w:sz="6" w:space="0" w:color="auto"/>
            </w:tcBorders>
            <w:hideMark/>
          </w:tcPr>
          <w:p w:rsidR="00A2369B" w:rsidRPr="00A2369B" w:rsidRDefault="00A2369B">
            <w:pPr>
              <w:jc w:val="center"/>
              <w:rPr>
                <w:rFonts w:ascii="Arial" w:hAnsi="Arial" w:cs="Arial"/>
              </w:rPr>
            </w:pPr>
            <w:r w:rsidRPr="00A2369B">
              <w:rPr>
                <w:rFonts w:ascii="Arial" w:hAnsi="Arial" w:cs="Arial"/>
              </w:rPr>
              <w:t>Rzędne krzywych granicznych uziarnienia</w:t>
            </w:r>
          </w:p>
        </w:tc>
      </w:tr>
      <w:tr w:rsidR="00A2369B" w:rsidRPr="00A2369B" w:rsidTr="008D3841">
        <w:tc>
          <w:tcPr>
            <w:tcW w:w="1488" w:type="dxa"/>
            <w:tcBorders>
              <w:top w:val="single" w:sz="6" w:space="0" w:color="auto"/>
              <w:left w:val="single" w:sz="6" w:space="0" w:color="auto"/>
              <w:bottom w:val="nil"/>
              <w:right w:val="nil"/>
            </w:tcBorders>
            <w:hideMark/>
          </w:tcPr>
          <w:p w:rsidR="00A2369B" w:rsidRPr="00A2369B" w:rsidRDefault="00A2369B">
            <w:pPr>
              <w:jc w:val="center"/>
              <w:rPr>
                <w:rFonts w:ascii="Arial" w:hAnsi="Arial" w:cs="Arial"/>
              </w:rPr>
            </w:pPr>
            <w:r w:rsidRPr="00A2369B">
              <w:rPr>
                <w:rFonts w:ascii="Arial" w:hAnsi="Arial" w:cs="Arial"/>
              </w:rPr>
              <w:t>Wymiary</w:t>
            </w:r>
          </w:p>
        </w:tc>
        <w:tc>
          <w:tcPr>
            <w:tcW w:w="6023" w:type="dxa"/>
            <w:gridSpan w:val="5"/>
            <w:tcBorders>
              <w:top w:val="single" w:sz="6" w:space="0" w:color="auto"/>
              <w:left w:val="single" w:sz="6" w:space="0" w:color="auto"/>
              <w:bottom w:val="sing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przechodzi przez sito,  % wag.</w:t>
            </w:r>
          </w:p>
        </w:tc>
      </w:tr>
      <w:tr w:rsidR="00A2369B" w:rsidRPr="00A2369B" w:rsidTr="008D3841">
        <w:tc>
          <w:tcPr>
            <w:tcW w:w="1488" w:type="dxa"/>
            <w:tcBorders>
              <w:top w:val="nil"/>
              <w:left w:val="single" w:sz="6" w:space="0" w:color="auto"/>
              <w:bottom w:val="nil"/>
              <w:right w:val="nil"/>
            </w:tcBorders>
            <w:hideMark/>
          </w:tcPr>
          <w:p w:rsidR="00A2369B" w:rsidRPr="00A2369B" w:rsidRDefault="00A2369B">
            <w:pPr>
              <w:jc w:val="center"/>
              <w:rPr>
                <w:rFonts w:ascii="Arial" w:hAnsi="Arial" w:cs="Arial"/>
              </w:rPr>
            </w:pPr>
            <w:r w:rsidRPr="00A2369B">
              <w:rPr>
                <w:rFonts w:ascii="Arial" w:hAnsi="Arial" w:cs="Arial"/>
              </w:rPr>
              <w:t>oczek kwadratowych sita</w:t>
            </w:r>
          </w:p>
        </w:tc>
        <w:tc>
          <w:tcPr>
            <w:tcW w:w="2977" w:type="dxa"/>
            <w:gridSpan w:val="3"/>
            <w:tcBorders>
              <w:top w:val="single" w:sz="6" w:space="0" w:color="auto"/>
              <w:left w:val="single" w:sz="6" w:space="0" w:color="auto"/>
              <w:bottom w:val="sing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nawierzchnia jednowarstwowa lub warstwa górna nawierzchni dwuwarstwowej</w:t>
            </w:r>
          </w:p>
        </w:tc>
        <w:tc>
          <w:tcPr>
            <w:tcW w:w="3046"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120"/>
              <w:jc w:val="center"/>
              <w:rPr>
                <w:rFonts w:ascii="Arial" w:hAnsi="Arial" w:cs="Arial"/>
              </w:rPr>
            </w:pPr>
            <w:r w:rsidRPr="00A2369B">
              <w:rPr>
                <w:rFonts w:ascii="Arial" w:hAnsi="Arial" w:cs="Arial"/>
              </w:rPr>
              <w:t>warstwa dolna nawierzchni dwuwarstwowej</w:t>
            </w:r>
          </w:p>
        </w:tc>
      </w:tr>
      <w:tr w:rsidR="00A2369B" w:rsidRPr="00A2369B" w:rsidTr="00A2369B">
        <w:tc>
          <w:tcPr>
            <w:tcW w:w="1502" w:type="dxa"/>
            <w:gridSpan w:val="2"/>
            <w:tcBorders>
              <w:top w:val="nil"/>
              <w:left w:val="single" w:sz="6" w:space="0" w:color="auto"/>
              <w:bottom w:val="double" w:sz="6" w:space="0" w:color="auto"/>
              <w:right w:val="nil"/>
            </w:tcBorders>
            <w:hideMark/>
          </w:tcPr>
          <w:p w:rsidR="00A2369B" w:rsidRPr="00A2369B" w:rsidRDefault="00A2369B">
            <w:pPr>
              <w:jc w:val="center"/>
              <w:rPr>
                <w:rFonts w:ascii="Arial" w:hAnsi="Arial" w:cs="Arial"/>
              </w:rPr>
            </w:pPr>
            <w:r w:rsidRPr="00A2369B">
              <w:rPr>
                <w:rFonts w:ascii="Arial" w:hAnsi="Arial" w:cs="Arial"/>
              </w:rPr>
              <w:t>mm</w:t>
            </w:r>
          </w:p>
        </w:tc>
        <w:tc>
          <w:tcPr>
            <w:tcW w:w="1502" w:type="dxa"/>
            <w:tcBorders>
              <w:top w:val="single" w:sz="6" w:space="0" w:color="auto"/>
              <w:left w:val="single" w:sz="6" w:space="0" w:color="auto"/>
              <w:bottom w:val="doub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a</w:t>
            </w:r>
            <w:r w:rsidRPr="00A2369B">
              <w:rPr>
                <w:rFonts w:ascii="Arial" w:hAnsi="Arial" w:cs="Arial"/>
                <w:vertAlign w:val="subscript"/>
              </w:rPr>
              <w:t>1</w:t>
            </w:r>
          </w:p>
        </w:tc>
        <w:tc>
          <w:tcPr>
            <w:tcW w:w="1461" w:type="dxa"/>
            <w:tcBorders>
              <w:top w:val="single" w:sz="6" w:space="0" w:color="auto"/>
              <w:left w:val="single" w:sz="6" w:space="0" w:color="auto"/>
              <w:bottom w:val="doub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b</w:t>
            </w:r>
            <w:r w:rsidRPr="00A2369B">
              <w:rPr>
                <w:rFonts w:ascii="Arial" w:hAnsi="Arial" w:cs="Arial"/>
                <w:vertAlign w:val="subscript"/>
              </w:rPr>
              <w:t>1</w:t>
            </w:r>
          </w:p>
        </w:tc>
        <w:tc>
          <w:tcPr>
            <w:tcW w:w="1523" w:type="dxa"/>
            <w:tcBorders>
              <w:top w:val="single" w:sz="6" w:space="0" w:color="auto"/>
              <w:left w:val="single" w:sz="6" w:space="0" w:color="auto"/>
              <w:bottom w:val="doub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a</w:t>
            </w:r>
          </w:p>
        </w:tc>
        <w:tc>
          <w:tcPr>
            <w:tcW w:w="1523" w:type="dxa"/>
            <w:tcBorders>
              <w:top w:val="single" w:sz="6" w:space="0" w:color="auto"/>
              <w:left w:val="single" w:sz="6" w:space="0" w:color="auto"/>
              <w:bottom w:val="double" w:sz="6" w:space="0" w:color="auto"/>
              <w:right w:val="single" w:sz="6" w:space="0" w:color="auto"/>
            </w:tcBorders>
            <w:hideMark/>
          </w:tcPr>
          <w:p w:rsidR="00A2369B" w:rsidRPr="00A2369B" w:rsidRDefault="00A2369B">
            <w:pPr>
              <w:jc w:val="center"/>
              <w:rPr>
                <w:rFonts w:ascii="Arial" w:hAnsi="Arial" w:cs="Arial"/>
              </w:rPr>
            </w:pPr>
            <w:r w:rsidRPr="00A2369B">
              <w:rPr>
                <w:rFonts w:ascii="Arial" w:hAnsi="Arial" w:cs="Arial"/>
              </w:rPr>
              <w:t>b</w:t>
            </w:r>
          </w:p>
        </w:tc>
      </w:tr>
      <w:tr w:rsidR="00A2369B" w:rsidRPr="00A2369B" w:rsidTr="00A2369B">
        <w:tc>
          <w:tcPr>
            <w:tcW w:w="1502" w:type="dxa"/>
            <w:gridSpan w:val="2"/>
            <w:tcBorders>
              <w:top w:val="nil"/>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50</w:t>
            </w:r>
          </w:p>
        </w:tc>
        <w:tc>
          <w:tcPr>
            <w:tcW w:w="1502" w:type="dxa"/>
            <w:tcBorders>
              <w:top w:val="nil"/>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461" w:type="dxa"/>
            <w:tcBorders>
              <w:top w:val="nil"/>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523" w:type="dxa"/>
            <w:tcBorders>
              <w:top w:val="nil"/>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523" w:type="dxa"/>
            <w:tcBorders>
              <w:top w:val="nil"/>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100</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lastRenderedPageBreak/>
              <w:t>20</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100</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67</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12</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92</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88</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54</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4</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86</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64</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65</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30</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2</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68</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47</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49</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19</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0,5</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44</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26</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28</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11</w:t>
            </w:r>
          </w:p>
        </w:tc>
      </w:tr>
      <w:tr w:rsidR="00A2369B" w:rsidRPr="00A2369B" w:rsidTr="00A2369B">
        <w:tc>
          <w:tcPr>
            <w:tcW w:w="1502" w:type="dxa"/>
            <w:gridSpan w:val="2"/>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0,075</w:t>
            </w:r>
          </w:p>
        </w:tc>
        <w:tc>
          <w:tcPr>
            <w:tcW w:w="1502"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15</w:t>
            </w:r>
          </w:p>
        </w:tc>
        <w:tc>
          <w:tcPr>
            <w:tcW w:w="1461"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8</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12</w:t>
            </w:r>
          </w:p>
        </w:tc>
        <w:tc>
          <w:tcPr>
            <w:tcW w:w="1523" w:type="dxa"/>
            <w:tcBorders>
              <w:top w:val="single" w:sz="6" w:space="0" w:color="auto"/>
              <w:left w:val="single" w:sz="6" w:space="0" w:color="auto"/>
              <w:bottom w:val="single" w:sz="6" w:space="0" w:color="auto"/>
              <w:right w:val="single" w:sz="6" w:space="0" w:color="auto"/>
            </w:tcBorders>
            <w:hideMark/>
          </w:tcPr>
          <w:p w:rsidR="00A2369B" w:rsidRPr="00A2369B" w:rsidRDefault="00A2369B">
            <w:pPr>
              <w:spacing w:before="60" w:after="60"/>
              <w:jc w:val="center"/>
              <w:rPr>
                <w:rFonts w:ascii="Arial" w:hAnsi="Arial" w:cs="Arial"/>
              </w:rPr>
            </w:pPr>
            <w:r w:rsidRPr="00A2369B">
              <w:rPr>
                <w:rFonts w:ascii="Arial" w:hAnsi="Arial" w:cs="Arial"/>
              </w:rPr>
              <w:t>3</w:t>
            </w:r>
          </w:p>
        </w:tc>
      </w:tr>
    </w:tbl>
    <w:p w:rsidR="00A2369B" w:rsidRPr="00A2369B" w:rsidRDefault="00A2369B" w:rsidP="00A2369B">
      <w:pPr>
        <w:framePr w:hSpace="141" w:wrap="around" w:vAnchor="text" w:hAnchor="page" w:x="2768" w:y="240"/>
        <w:rPr>
          <w:rFonts w:ascii="Arial" w:hAnsi="Arial" w:cs="Arial"/>
        </w:rPr>
      </w:pPr>
      <w:r w:rsidRPr="00A2369B">
        <w:rPr>
          <w:rFonts w:ascii="Arial" w:hAnsi="Arial" w:cs="Arial"/>
          <w:noProof/>
        </w:rPr>
        <w:drawing>
          <wp:inline distT="0" distB="0" distL="0" distR="0" wp14:anchorId="4D418D41" wp14:editId="66D4DA44">
            <wp:extent cx="4244340" cy="48234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4823460"/>
                    </a:xfrm>
                    <a:prstGeom prst="rect">
                      <a:avLst/>
                    </a:prstGeom>
                    <a:noFill/>
                    <a:ln>
                      <a:noFill/>
                    </a:ln>
                  </pic:spPr>
                </pic:pic>
              </a:graphicData>
            </a:graphic>
          </wp:inline>
        </w:drawing>
      </w:r>
    </w:p>
    <w:p w:rsidR="00A2369B" w:rsidRPr="00A2369B" w:rsidRDefault="00A2369B" w:rsidP="00A2369B">
      <w:pPr>
        <w:rPr>
          <w:rFonts w:ascii="Arial" w:hAnsi="Arial" w:cs="Arial"/>
        </w:rPr>
      </w:pPr>
    </w:p>
    <w:p w:rsidR="00A2369B" w:rsidRPr="00A2369B" w:rsidRDefault="00A2369B" w:rsidP="00A2369B">
      <w:pPr>
        <w:rPr>
          <w:rFonts w:ascii="Arial" w:hAnsi="Arial" w:cs="Arial"/>
        </w:rPr>
      </w:pPr>
    </w:p>
    <w:p w:rsidR="00A2369B" w:rsidRPr="00A2369B" w:rsidRDefault="00A2369B" w:rsidP="00A2369B">
      <w:pPr>
        <w:jc w:val="center"/>
        <w:rPr>
          <w:rFonts w:ascii="Arial" w:hAnsi="Arial" w:cs="Arial"/>
        </w:rPr>
      </w:pPr>
      <w:r w:rsidRPr="00A2369B">
        <w:rPr>
          <w:rFonts w:ascii="Arial" w:hAnsi="Arial" w:cs="Arial"/>
        </w:rPr>
        <w:t>Rysunek 1. Obszar uziarnienia optymalnych mieszanek żwirowych</w:t>
      </w:r>
      <w:bookmarkStart w:id="3" w:name="_Toc423749684"/>
    </w:p>
    <w:p w:rsidR="00A2369B" w:rsidRPr="00A2369B" w:rsidRDefault="00A2369B" w:rsidP="00A2369B">
      <w:pPr>
        <w:jc w:val="center"/>
        <w:rPr>
          <w:rFonts w:ascii="Arial" w:hAnsi="Arial" w:cs="Arial"/>
        </w:rPr>
      </w:pPr>
    </w:p>
    <w:p w:rsidR="00A2369B" w:rsidRPr="00A2369B" w:rsidRDefault="00A2369B" w:rsidP="00A2369B">
      <w:pPr>
        <w:jc w:val="center"/>
        <w:rPr>
          <w:rFonts w:ascii="Arial" w:hAnsi="Arial" w:cs="Arial"/>
        </w:rPr>
      </w:pPr>
    </w:p>
    <w:p w:rsidR="00A2369B" w:rsidRPr="00A2369B" w:rsidRDefault="00A2369B" w:rsidP="00A2369B">
      <w:pPr>
        <w:jc w:val="center"/>
        <w:rPr>
          <w:rFonts w:ascii="Arial" w:hAnsi="Arial" w:cs="Arial"/>
        </w:rPr>
      </w:pPr>
    </w:p>
    <w:p w:rsidR="00A2369B" w:rsidRPr="00A2369B" w:rsidRDefault="00A2369B" w:rsidP="00A2369B">
      <w:pPr>
        <w:jc w:val="center"/>
        <w:rPr>
          <w:rFonts w:ascii="Arial" w:hAnsi="Arial" w:cs="Arial"/>
        </w:rPr>
      </w:pPr>
    </w:p>
    <w:p w:rsidR="00A2369B" w:rsidRPr="008D3841" w:rsidRDefault="00A2369B" w:rsidP="00A2369B">
      <w:pPr>
        <w:pStyle w:val="Nagwek1"/>
        <w:rPr>
          <w:rFonts w:ascii="Arial" w:hAnsi="Arial" w:cs="Arial"/>
          <w:sz w:val="22"/>
          <w:szCs w:val="22"/>
        </w:rPr>
      </w:pPr>
      <w:r w:rsidRPr="008D3841">
        <w:rPr>
          <w:rFonts w:ascii="Arial" w:hAnsi="Arial" w:cs="Arial"/>
          <w:sz w:val="22"/>
          <w:szCs w:val="22"/>
        </w:rPr>
        <w:t xml:space="preserve"> 3. sprzęt</w:t>
      </w:r>
      <w:bookmarkEnd w:id="3"/>
    </w:p>
    <w:p w:rsidR="00A2369B" w:rsidRPr="008D3841" w:rsidRDefault="00A2369B" w:rsidP="00A2369B">
      <w:pPr>
        <w:pStyle w:val="Nagwek2"/>
        <w:rPr>
          <w:rFonts w:ascii="Arial" w:hAnsi="Arial" w:cs="Arial"/>
          <w:color w:val="auto"/>
          <w:sz w:val="22"/>
          <w:szCs w:val="22"/>
        </w:rPr>
      </w:pPr>
      <w:r w:rsidRPr="008D3841">
        <w:rPr>
          <w:rFonts w:ascii="Arial" w:hAnsi="Arial" w:cs="Arial"/>
          <w:color w:val="auto"/>
          <w:sz w:val="22"/>
          <w:szCs w:val="22"/>
        </w:rPr>
        <w:t>3.1. Ogólne wymagania dotyczące sprzętu</w:t>
      </w:r>
    </w:p>
    <w:p w:rsidR="008D3841" w:rsidRDefault="00A2369B" w:rsidP="00A2369B">
      <w:pPr>
        <w:rPr>
          <w:rFonts w:ascii="Arial" w:hAnsi="Arial" w:cs="Arial"/>
        </w:rPr>
      </w:pPr>
      <w:r w:rsidRPr="008D3841">
        <w:rPr>
          <w:rFonts w:ascii="Arial" w:hAnsi="Arial" w:cs="Arial"/>
        </w:rPr>
        <w:tab/>
      </w:r>
    </w:p>
    <w:p w:rsidR="00A2369B" w:rsidRPr="008D3841" w:rsidRDefault="00A2369B" w:rsidP="00A2369B">
      <w:pPr>
        <w:rPr>
          <w:rFonts w:ascii="Arial" w:hAnsi="Arial" w:cs="Arial"/>
        </w:rPr>
      </w:pPr>
      <w:r w:rsidRPr="008D3841">
        <w:rPr>
          <w:rFonts w:ascii="Arial" w:hAnsi="Arial" w:cs="Arial"/>
        </w:rPr>
        <w:t>Ogólne wymaga</w:t>
      </w:r>
      <w:r w:rsidR="008D3841">
        <w:rPr>
          <w:rFonts w:ascii="Arial" w:hAnsi="Arial" w:cs="Arial"/>
        </w:rPr>
        <w:t>nia dotyczące sprzętu podano w S</w:t>
      </w:r>
      <w:r w:rsidRPr="008D3841">
        <w:rPr>
          <w:rFonts w:ascii="Arial" w:hAnsi="Arial" w:cs="Arial"/>
        </w:rPr>
        <w:t>ST D-00.00.00 „Wymagania ogólne” pkt 3.</w:t>
      </w:r>
    </w:p>
    <w:p w:rsidR="00A2369B" w:rsidRDefault="00A2369B" w:rsidP="00A2369B">
      <w:pPr>
        <w:pStyle w:val="Nagwek2"/>
        <w:rPr>
          <w:rFonts w:ascii="Arial" w:hAnsi="Arial" w:cs="Arial"/>
          <w:color w:val="auto"/>
          <w:sz w:val="10"/>
          <w:szCs w:val="10"/>
        </w:rPr>
      </w:pPr>
      <w:r w:rsidRPr="008D3841">
        <w:rPr>
          <w:rFonts w:ascii="Arial" w:hAnsi="Arial" w:cs="Arial"/>
          <w:color w:val="auto"/>
          <w:sz w:val="22"/>
          <w:szCs w:val="22"/>
        </w:rPr>
        <w:t>3.2. Sprzęt do wykonania nawierzchni żwirowej</w:t>
      </w:r>
    </w:p>
    <w:p w:rsidR="008D3841" w:rsidRPr="008D3841" w:rsidRDefault="008D3841" w:rsidP="008D3841">
      <w:pPr>
        <w:rPr>
          <w:sz w:val="10"/>
          <w:szCs w:val="10"/>
        </w:rPr>
      </w:pPr>
    </w:p>
    <w:p w:rsidR="00A2369B" w:rsidRPr="008D3841" w:rsidRDefault="00A2369B" w:rsidP="00A2369B">
      <w:pPr>
        <w:rPr>
          <w:rFonts w:ascii="Arial" w:hAnsi="Arial" w:cs="Arial"/>
        </w:rPr>
      </w:pPr>
      <w:r w:rsidRPr="008D3841">
        <w:rPr>
          <w:rFonts w:ascii="Arial" w:hAnsi="Arial" w:cs="Arial"/>
        </w:rPr>
        <w:t>Wykonawca przystępujący do wykonania nawierzchni żwirowej powinien wykazać się możliwością korzystania z następującego sprzętu:</w:t>
      </w:r>
    </w:p>
    <w:p w:rsidR="00A2369B" w:rsidRPr="00A2369B" w:rsidRDefault="00A2369B" w:rsidP="00A2369B">
      <w:pPr>
        <w:numPr>
          <w:ilvl w:val="0"/>
          <w:numId w:val="1"/>
        </w:numPr>
        <w:rPr>
          <w:rFonts w:ascii="Arial" w:hAnsi="Arial" w:cs="Arial"/>
        </w:rPr>
      </w:pPr>
      <w:r w:rsidRPr="00A2369B">
        <w:rPr>
          <w:rFonts w:ascii="Arial" w:hAnsi="Arial" w:cs="Arial"/>
        </w:rPr>
        <w:lastRenderedPageBreak/>
        <w:t>koparek i ładowarek do odspajania i wydobywania gruntu,</w:t>
      </w:r>
    </w:p>
    <w:p w:rsidR="00A2369B" w:rsidRPr="00A2369B" w:rsidRDefault="00A2369B" w:rsidP="00A2369B">
      <w:pPr>
        <w:numPr>
          <w:ilvl w:val="0"/>
          <w:numId w:val="1"/>
        </w:numPr>
        <w:rPr>
          <w:rFonts w:ascii="Arial" w:hAnsi="Arial" w:cs="Arial"/>
        </w:rPr>
      </w:pPr>
      <w:r w:rsidRPr="00A2369B">
        <w:rPr>
          <w:rFonts w:ascii="Arial" w:hAnsi="Arial" w:cs="Arial"/>
        </w:rPr>
        <w:t>spycharek, równiarek lub sprzętu rolniczego (pługi, brony, kultywatory) do spulchniania, rozkładania, profilowania,</w:t>
      </w:r>
    </w:p>
    <w:p w:rsidR="00A2369B" w:rsidRPr="00A2369B" w:rsidRDefault="00A2369B" w:rsidP="00A2369B">
      <w:pPr>
        <w:numPr>
          <w:ilvl w:val="0"/>
          <w:numId w:val="1"/>
        </w:numPr>
        <w:rPr>
          <w:rFonts w:ascii="Arial" w:hAnsi="Arial" w:cs="Arial"/>
        </w:rPr>
      </w:pPr>
      <w:r w:rsidRPr="00A2369B">
        <w:rPr>
          <w:rFonts w:ascii="Arial" w:hAnsi="Arial" w:cs="Arial"/>
        </w:rPr>
        <w:t xml:space="preserve">sprzętu rolniczego (glebogryzarki, </w:t>
      </w:r>
      <w:proofErr w:type="spellStart"/>
      <w:r w:rsidRPr="00A2369B">
        <w:rPr>
          <w:rFonts w:ascii="Arial" w:hAnsi="Arial" w:cs="Arial"/>
        </w:rPr>
        <w:t>pługofrezarki</w:t>
      </w:r>
      <w:proofErr w:type="spellEnd"/>
      <w:r w:rsidRPr="00A2369B">
        <w:rPr>
          <w:rFonts w:ascii="Arial" w:hAnsi="Arial" w:cs="Arial"/>
        </w:rPr>
        <w:t>, brony talerzowe, kultywatory) lub ruchomych mieszarek do wymieszania mieszanki optymalnej,</w:t>
      </w:r>
    </w:p>
    <w:p w:rsidR="00A2369B" w:rsidRPr="00A2369B" w:rsidRDefault="00A2369B" w:rsidP="00A2369B">
      <w:pPr>
        <w:numPr>
          <w:ilvl w:val="0"/>
          <w:numId w:val="1"/>
        </w:numPr>
        <w:rPr>
          <w:rFonts w:ascii="Arial" w:hAnsi="Arial" w:cs="Arial"/>
        </w:rPr>
      </w:pPr>
      <w:r w:rsidRPr="00A2369B">
        <w:rPr>
          <w:rFonts w:ascii="Arial" w:hAnsi="Arial" w:cs="Arial"/>
        </w:rPr>
        <w:t>przewoźnych zbiorników na wodę do zwilżania mieszanki optymalnej, wyposażonych w urządzenia do równomiernego i kontrolowanego dozowania wody,</w:t>
      </w:r>
    </w:p>
    <w:p w:rsidR="00A2369B" w:rsidRPr="00A2369B" w:rsidRDefault="00A2369B" w:rsidP="00A2369B">
      <w:pPr>
        <w:numPr>
          <w:ilvl w:val="0"/>
          <w:numId w:val="1"/>
        </w:numPr>
        <w:rPr>
          <w:rFonts w:ascii="Arial" w:hAnsi="Arial" w:cs="Arial"/>
        </w:rPr>
      </w:pPr>
      <w:r w:rsidRPr="00A2369B">
        <w:rPr>
          <w:rFonts w:ascii="Arial" w:hAnsi="Arial" w:cs="Arial"/>
        </w:rPr>
        <w:t>walców statycznych trójkołowych lub dwukołowych, lekkich i średnich,</w:t>
      </w:r>
    </w:p>
    <w:p w:rsidR="00A2369B" w:rsidRPr="00A2369B" w:rsidRDefault="00A2369B" w:rsidP="00A2369B">
      <w:pPr>
        <w:numPr>
          <w:ilvl w:val="0"/>
          <w:numId w:val="1"/>
        </w:numPr>
        <w:rPr>
          <w:rFonts w:ascii="Arial" w:hAnsi="Arial" w:cs="Arial"/>
        </w:rPr>
      </w:pPr>
      <w:r w:rsidRPr="00A2369B">
        <w:rPr>
          <w:rFonts w:ascii="Arial" w:hAnsi="Arial" w:cs="Arial"/>
        </w:rPr>
        <w:t>walców wibracyjnych.</w:t>
      </w:r>
    </w:p>
    <w:p w:rsidR="00A2369B" w:rsidRPr="008D3841" w:rsidRDefault="00A2369B" w:rsidP="00A2369B">
      <w:pPr>
        <w:pStyle w:val="Nagwek1"/>
        <w:rPr>
          <w:rFonts w:ascii="Arial" w:hAnsi="Arial" w:cs="Arial"/>
          <w:sz w:val="22"/>
          <w:szCs w:val="22"/>
        </w:rPr>
      </w:pPr>
      <w:bookmarkStart w:id="4" w:name="_Toc423749685"/>
      <w:r w:rsidRPr="008D3841">
        <w:rPr>
          <w:rFonts w:ascii="Arial" w:hAnsi="Arial" w:cs="Arial"/>
          <w:sz w:val="22"/>
          <w:szCs w:val="22"/>
        </w:rPr>
        <w:t>4. transport</w:t>
      </w:r>
      <w:bookmarkEnd w:id="4"/>
    </w:p>
    <w:p w:rsidR="00A2369B" w:rsidRDefault="00A2369B" w:rsidP="00A2369B">
      <w:pPr>
        <w:pStyle w:val="Nagwek2"/>
        <w:rPr>
          <w:rFonts w:ascii="Arial" w:hAnsi="Arial" w:cs="Arial"/>
          <w:color w:val="auto"/>
          <w:sz w:val="22"/>
          <w:szCs w:val="22"/>
        </w:rPr>
      </w:pPr>
      <w:r w:rsidRPr="008D3841">
        <w:rPr>
          <w:rFonts w:ascii="Arial" w:hAnsi="Arial" w:cs="Arial"/>
          <w:color w:val="auto"/>
          <w:sz w:val="22"/>
          <w:szCs w:val="22"/>
        </w:rPr>
        <w:t>4.1. Ogólne wymagania dotyczące transportu</w:t>
      </w:r>
    </w:p>
    <w:p w:rsidR="008D3841" w:rsidRPr="008D3841" w:rsidRDefault="008D3841" w:rsidP="008D3841">
      <w:pPr>
        <w:rPr>
          <w:sz w:val="10"/>
          <w:szCs w:val="10"/>
        </w:rPr>
      </w:pPr>
    </w:p>
    <w:p w:rsidR="00A2369B" w:rsidRPr="008D3841" w:rsidRDefault="00A2369B" w:rsidP="00A2369B">
      <w:pPr>
        <w:rPr>
          <w:rFonts w:ascii="Arial" w:hAnsi="Arial" w:cs="Arial"/>
        </w:rPr>
      </w:pPr>
      <w:r w:rsidRPr="008D3841">
        <w:rPr>
          <w:rFonts w:ascii="Arial" w:hAnsi="Arial" w:cs="Arial"/>
        </w:rPr>
        <w:t>Ogólne wymagania</w:t>
      </w:r>
      <w:r w:rsidR="008D3841">
        <w:rPr>
          <w:rFonts w:ascii="Arial" w:hAnsi="Arial" w:cs="Arial"/>
        </w:rPr>
        <w:t xml:space="preserve"> dotyczące transportu podano w S</w:t>
      </w:r>
      <w:r w:rsidRPr="008D3841">
        <w:rPr>
          <w:rFonts w:ascii="Arial" w:hAnsi="Arial" w:cs="Arial"/>
        </w:rPr>
        <w:t>ST D-00.00.00 „Wymagania ogólne” pkt 4.</w:t>
      </w:r>
    </w:p>
    <w:p w:rsidR="00A2369B" w:rsidRDefault="00A2369B" w:rsidP="00A2369B">
      <w:pPr>
        <w:pStyle w:val="Nagwek2"/>
        <w:rPr>
          <w:rFonts w:ascii="Arial" w:hAnsi="Arial" w:cs="Arial"/>
          <w:color w:val="auto"/>
          <w:sz w:val="22"/>
          <w:szCs w:val="22"/>
        </w:rPr>
      </w:pPr>
      <w:r w:rsidRPr="008D3841">
        <w:rPr>
          <w:rFonts w:ascii="Arial" w:hAnsi="Arial" w:cs="Arial"/>
          <w:color w:val="auto"/>
          <w:sz w:val="22"/>
          <w:szCs w:val="22"/>
        </w:rPr>
        <w:t>4.2. Transport kruszywa</w:t>
      </w:r>
    </w:p>
    <w:p w:rsidR="008D3841" w:rsidRPr="008D3841" w:rsidRDefault="008D3841" w:rsidP="008D3841">
      <w:pPr>
        <w:rPr>
          <w:sz w:val="10"/>
          <w:szCs w:val="10"/>
        </w:rPr>
      </w:pPr>
    </w:p>
    <w:p w:rsidR="00A2369B" w:rsidRPr="008D3841" w:rsidRDefault="00A2369B" w:rsidP="00A2369B">
      <w:pPr>
        <w:rPr>
          <w:rFonts w:ascii="Arial" w:hAnsi="Arial" w:cs="Arial"/>
        </w:rPr>
      </w:pPr>
      <w:r w:rsidRPr="008D3841">
        <w:rPr>
          <w:rFonts w:ascii="Arial" w:hAnsi="Arial" w:cs="Arial"/>
        </w:rPr>
        <w:t>Kruszywo można przewozić dowolnymi środkami transportu w warunkach zabezpieczających je przed zanieczyszczeniem i rozsegregowaniem, nadmiernym wysuszeniem i zawilgoceniem.</w:t>
      </w:r>
    </w:p>
    <w:p w:rsidR="00A2369B" w:rsidRPr="008D3841" w:rsidRDefault="00A2369B" w:rsidP="00A2369B">
      <w:pPr>
        <w:pStyle w:val="Nagwek1"/>
        <w:rPr>
          <w:rFonts w:ascii="Arial" w:hAnsi="Arial" w:cs="Arial"/>
          <w:sz w:val="22"/>
          <w:szCs w:val="22"/>
        </w:rPr>
      </w:pPr>
      <w:bookmarkStart w:id="5" w:name="_Toc423749686"/>
      <w:r w:rsidRPr="008D3841">
        <w:rPr>
          <w:rFonts w:ascii="Arial" w:hAnsi="Arial" w:cs="Arial"/>
          <w:sz w:val="22"/>
          <w:szCs w:val="22"/>
        </w:rPr>
        <w:t>5. wykonanie robót</w:t>
      </w:r>
      <w:bookmarkEnd w:id="5"/>
    </w:p>
    <w:p w:rsidR="00A2369B" w:rsidRDefault="00A2369B" w:rsidP="00A2369B">
      <w:pPr>
        <w:pStyle w:val="Nagwek2"/>
        <w:rPr>
          <w:rFonts w:ascii="Arial" w:hAnsi="Arial" w:cs="Arial"/>
          <w:color w:val="auto"/>
          <w:sz w:val="22"/>
          <w:szCs w:val="22"/>
        </w:rPr>
      </w:pPr>
      <w:r w:rsidRPr="008D3841">
        <w:rPr>
          <w:rFonts w:ascii="Arial" w:hAnsi="Arial" w:cs="Arial"/>
          <w:color w:val="auto"/>
          <w:sz w:val="22"/>
          <w:szCs w:val="22"/>
        </w:rPr>
        <w:t>5.1. Ogólne zasady wykonania robót</w:t>
      </w:r>
    </w:p>
    <w:p w:rsidR="008D3841" w:rsidRPr="008D3841" w:rsidRDefault="008D3841" w:rsidP="008D3841">
      <w:pPr>
        <w:rPr>
          <w:sz w:val="10"/>
          <w:szCs w:val="10"/>
        </w:rPr>
      </w:pPr>
    </w:p>
    <w:p w:rsidR="00A2369B" w:rsidRPr="008D3841" w:rsidRDefault="00A2369B" w:rsidP="00A2369B">
      <w:pPr>
        <w:rPr>
          <w:rFonts w:ascii="Arial" w:hAnsi="Arial" w:cs="Arial"/>
        </w:rPr>
      </w:pPr>
      <w:r w:rsidRPr="008D3841">
        <w:rPr>
          <w:rFonts w:ascii="Arial" w:hAnsi="Arial" w:cs="Arial"/>
        </w:rPr>
        <w:t>Ogólne z</w:t>
      </w:r>
      <w:r w:rsidR="008D3841">
        <w:rPr>
          <w:rFonts w:ascii="Arial" w:hAnsi="Arial" w:cs="Arial"/>
        </w:rPr>
        <w:t>asady wykonania robót podano w S</w:t>
      </w:r>
      <w:r w:rsidRPr="008D3841">
        <w:rPr>
          <w:rFonts w:ascii="Arial" w:hAnsi="Arial" w:cs="Arial"/>
        </w:rPr>
        <w:t>ST D-00.00.00 „Wymagania ogólne” pkt 5.</w:t>
      </w:r>
    </w:p>
    <w:p w:rsidR="00A2369B" w:rsidRDefault="00A2369B" w:rsidP="00A2369B">
      <w:pPr>
        <w:pStyle w:val="Nagwek2"/>
        <w:rPr>
          <w:rFonts w:ascii="Arial" w:hAnsi="Arial" w:cs="Arial"/>
          <w:color w:val="auto"/>
          <w:sz w:val="22"/>
          <w:szCs w:val="22"/>
        </w:rPr>
      </w:pPr>
      <w:r w:rsidRPr="008D3841">
        <w:rPr>
          <w:rFonts w:ascii="Arial" w:hAnsi="Arial" w:cs="Arial"/>
          <w:color w:val="auto"/>
          <w:sz w:val="22"/>
          <w:szCs w:val="22"/>
        </w:rPr>
        <w:t>5.2. Przygotowanie podłoża</w:t>
      </w:r>
    </w:p>
    <w:p w:rsidR="008D3841" w:rsidRPr="008D3841" w:rsidRDefault="008D3841" w:rsidP="008D3841">
      <w:pPr>
        <w:rPr>
          <w:sz w:val="10"/>
          <w:szCs w:val="10"/>
        </w:rPr>
      </w:pPr>
    </w:p>
    <w:p w:rsidR="00A2369B" w:rsidRPr="008D3841" w:rsidRDefault="00A2369B" w:rsidP="00A2369B">
      <w:pPr>
        <w:rPr>
          <w:rFonts w:ascii="Arial" w:hAnsi="Arial" w:cs="Arial"/>
        </w:rPr>
      </w:pPr>
      <w:r w:rsidRPr="008D3841">
        <w:rPr>
          <w:rFonts w:ascii="Arial" w:hAnsi="Arial" w:cs="Arial"/>
        </w:rPr>
        <w:t xml:space="preserve">Podłoże gruntowe pod nawierzchnię żwirową powinno </w:t>
      </w:r>
      <w:r w:rsidR="008D3841">
        <w:rPr>
          <w:rFonts w:ascii="Arial" w:hAnsi="Arial" w:cs="Arial"/>
        </w:rPr>
        <w:t>spełniać wymagania określone w S</w:t>
      </w:r>
      <w:r w:rsidRPr="008D3841">
        <w:rPr>
          <w:rFonts w:ascii="Arial" w:hAnsi="Arial" w:cs="Arial"/>
        </w:rPr>
        <w:t>ST D-04.01.01 „Koryto wraz z profilowaniem i zagęszczeniem podłoża”.</w:t>
      </w:r>
    </w:p>
    <w:p w:rsidR="00A2369B" w:rsidRPr="008D3841" w:rsidRDefault="00A2369B" w:rsidP="00A2369B">
      <w:pPr>
        <w:rPr>
          <w:rFonts w:ascii="Arial" w:hAnsi="Arial" w:cs="Arial"/>
        </w:rPr>
      </w:pPr>
      <w:r w:rsidRPr="008D3841">
        <w:rPr>
          <w:rFonts w:ascii="Arial" w:hAnsi="Arial" w:cs="Arial"/>
        </w:rPr>
        <w:t>Podłoże powinno być odwodnione w przypadku gruntu nieprzepuszczalnego poprzez ułożenie warstwy odsączającej z piasku o wskaźniku wodoprzepuszczalności większym od 8 m/do</w:t>
      </w:r>
      <w:r w:rsidR="008D3841">
        <w:rPr>
          <w:rFonts w:ascii="Arial" w:hAnsi="Arial" w:cs="Arial"/>
        </w:rPr>
        <w:t>bę, według zasad określonych w S</w:t>
      </w:r>
      <w:r w:rsidRPr="008D3841">
        <w:rPr>
          <w:rFonts w:ascii="Arial" w:hAnsi="Arial" w:cs="Arial"/>
        </w:rPr>
        <w:t>ST D-04.02.01 „Warstwy odsączające i odcinające”.</w:t>
      </w:r>
    </w:p>
    <w:p w:rsidR="00A2369B" w:rsidRPr="008D3841" w:rsidRDefault="00A2369B" w:rsidP="00A2369B">
      <w:pPr>
        <w:rPr>
          <w:rFonts w:ascii="Arial" w:hAnsi="Arial" w:cs="Arial"/>
        </w:rPr>
      </w:pPr>
      <w:r w:rsidRPr="008D3841">
        <w:rPr>
          <w:rFonts w:ascii="Arial" w:hAnsi="Arial" w:cs="Arial"/>
        </w:rPr>
        <w:t>Zamiast warstwy odsączającej podłoże gruntowe można ulepszyć stabilizując je wapnem, cementem lub popiołami lotnymi z węgla brunatnego według zasad określonych w OST D-04.05.00 „Podbudowy i ulepszone podłoża z gruntów lub kruszyw stabilizowanych spoiwami hydraulicznymi”.</w:t>
      </w:r>
    </w:p>
    <w:p w:rsidR="00A2369B" w:rsidRPr="008D3841" w:rsidRDefault="00A2369B" w:rsidP="00A2369B">
      <w:pPr>
        <w:rPr>
          <w:rFonts w:ascii="Arial" w:hAnsi="Arial" w:cs="Arial"/>
        </w:rPr>
      </w:pPr>
      <w:r w:rsidRPr="008D3841">
        <w:rPr>
          <w:rFonts w:ascii="Arial" w:hAnsi="Arial" w:cs="Arial"/>
        </w:rPr>
        <w:t>Grubość warstwy ulepszonego podłoża, jeżeli nie została określona w dokumentacji projektowej, powinna wynosić 15 cm, a jej spadek poprzeczny od 4 do 5%.</w:t>
      </w:r>
    </w:p>
    <w:p w:rsidR="00A2369B" w:rsidRDefault="00A2369B" w:rsidP="00A2369B">
      <w:pPr>
        <w:pStyle w:val="Nagwek2"/>
        <w:rPr>
          <w:rFonts w:ascii="Arial" w:hAnsi="Arial" w:cs="Arial"/>
          <w:color w:val="auto"/>
          <w:sz w:val="10"/>
          <w:szCs w:val="10"/>
        </w:rPr>
      </w:pPr>
      <w:r w:rsidRPr="00710C8D">
        <w:rPr>
          <w:rFonts w:ascii="Arial" w:hAnsi="Arial" w:cs="Arial"/>
          <w:color w:val="auto"/>
          <w:sz w:val="22"/>
          <w:szCs w:val="22"/>
        </w:rPr>
        <w:t>5.3. Wykonanie nawierzchni żwirowej</w:t>
      </w:r>
    </w:p>
    <w:p w:rsidR="00710C8D" w:rsidRPr="00710C8D" w:rsidRDefault="00710C8D" w:rsidP="00710C8D">
      <w:pPr>
        <w:rPr>
          <w:sz w:val="10"/>
          <w:szCs w:val="10"/>
        </w:rPr>
      </w:pPr>
    </w:p>
    <w:p w:rsidR="00A2369B" w:rsidRPr="008D3841" w:rsidRDefault="00A2369B" w:rsidP="00A2369B">
      <w:pPr>
        <w:rPr>
          <w:rFonts w:ascii="Arial" w:hAnsi="Arial" w:cs="Arial"/>
        </w:rPr>
      </w:pPr>
      <w:r w:rsidRPr="008D3841">
        <w:rPr>
          <w:rFonts w:ascii="Arial" w:hAnsi="Arial" w:cs="Arial"/>
          <w:b/>
        </w:rPr>
        <w:t xml:space="preserve">5.3.1. </w:t>
      </w:r>
      <w:r w:rsidRPr="008D3841">
        <w:rPr>
          <w:rFonts w:ascii="Arial" w:hAnsi="Arial" w:cs="Arial"/>
        </w:rPr>
        <w:t>Projektowanie składu mieszanki żwirowej</w:t>
      </w:r>
    </w:p>
    <w:p w:rsidR="00A2369B" w:rsidRPr="008D3841" w:rsidRDefault="00A2369B" w:rsidP="00A2369B">
      <w:pPr>
        <w:rPr>
          <w:rFonts w:ascii="Arial" w:hAnsi="Arial" w:cs="Arial"/>
        </w:rPr>
      </w:pPr>
      <w:r w:rsidRPr="008D3841">
        <w:rPr>
          <w:rFonts w:ascii="Arial" w:hAnsi="Arial" w:cs="Arial"/>
        </w:rPr>
        <w:t>Projekt składu mieszanki powinien być opracowany w oparciu o:</w:t>
      </w:r>
    </w:p>
    <w:p w:rsidR="00A2369B" w:rsidRPr="008D3841" w:rsidRDefault="00A2369B" w:rsidP="00A2369B">
      <w:pPr>
        <w:numPr>
          <w:ilvl w:val="0"/>
          <w:numId w:val="2"/>
        </w:numPr>
        <w:rPr>
          <w:rFonts w:ascii="Arial" w:hAnsi="Arial" w:cs="Arial"/>
        </w:rPr>
      </w:pPr>
      <w:r w:rsidRPr="008D3841">
        <w:rPr>
          <w:rFonts w:ascii="Arial" w:hAnsi="Arial" w:cs="Arial"/>
        </w:rPr>
        <w:t>wyniki badań kruszyw przeznaczonych do mieszanki żwirowej, wg wymagań p. 2.2,</w:t>
      </w:r>
    </w:p>
    <w:p w:rsidR="00A2369B" w:rsidRPr="008D3841" w:rsidRDefault="00A2369B" w:rsidP="00A2369B">
      <w:pPr>
        <w:numPr>
          <w:ilvl w:val="0"/>
          <w:numId w:val="2"/>
        </w:numPr>
        <w:rPr>
          <w:rFonts w:ascii="Arial" w:hAnsi="Arial" w:cs="Arial"/>
        </w:rPr>
      </w:pPr>
      <w:r w:rsidRPr="008D3841">
        <w:rPr>
          <w:rFonts w:ascii="Arial" w:hAnsi="Arial" w:cs="Arial"/>
        </w:rPr>
        <w:t>wyniki badań mieszanki, według wymagań podanych w punkcie 2.2,</w:t>
      </w:r>
    </w:p>
    <w:p w:rsidR="00A2369B" w:rsidRPr="00A2369B" w:rsidRDefault="00A2369B" w:rsidP="00A2369B">
      <w:pPr>
        <w:numPr>
          <w:ilvl w:val="0"/>
          <w:numId w:val="2"/>
        </w:numPr>
        <w:rPr>
          <w:rFonts w:ascii="Arial" w:hAnsi="Arial" w:cs="Arial"/>
        </w:rPr>
      </w:pPr>
      <w:r w:rsidRPr="008D3841">
        <w:rPr>
          <w:rFonts w:ascii="Arial" w:hAnsi="Arial" w:cs="Arial"/>
        </w:rPr>
        <w:t xml:space="preserve">wilgotność optymalną mieszanki określoną wg normalnej próby </w:t>
      </w:r>
      <w:proofErr w:type="spellStart"/>
      <w:r w:rsidRPr="008D3841">
        <w:rPr>
          <w:rFonts w:ascii="Arial" w:hAnsi="Arial" w:cs="Arial"/>
        </w:rPr>
        <w:t>Proctora</w:t>
      </w:r>
      <w:proofErr w:type="spellEnd"/>
      <w:r w:rsidRPr="008D3841">
        <w:rPr>
          <w:rFonts w:ascii="Arial" w:hAnsi="Arial" w:cs="Arial"/>
        </w:rPr>
        <w:t>, zgodnie z normą PN-B-</w:t>
      </w:r>
      <w:r w:rsidRPr="00A2369B">
        <w:rPr>
          <w:rFonts w:ascii="Arial" w:hAnsi="Arial" w:cs="Arial"/>
        </w:rPr>
        <w:t>04481 [1].</w:t>
      </w:r>
    </w:p>
    <w:p w:rsidR="00A2369B" w:rsidRPr="00A2369B" w:rsidRDefault="00A2369B" w:rsidP="00A2369B">
      <w:pPr>
        <w:spacing w:before="120"/>
        <w:rPr>
          <w:rFonts w:ascii="Arial" w:hAnsi="Arial" w:cs="Arial"/>
        </w:rPr>
      </w:pPr>
      <w:r w:rsidRPr="00A2369B">
        <w:rPr>
          <w:rFonts w:ascii="Arial" w:hAnsi="Arial" w:cs="Arial"/>
          <w:b/>
        </w:rPr>
        <w:t xml:space="preserve">5.3.2. </w:t>
      </w:r>
      <w:r w:rsidRPr="00A2369B">
        <w:rPr>
          <w:rFonts w:ascii="Arial" w:hAnsi="Arial" w:cs="Arial"/>
        </w:rPr>
        <w:t>Odcinek próbny</w:t>
      </w:r>
    </w:p>
    <w:p w:rsidR="00A2369B" w:rsidRPr="00A2369B" w:rsidRDefault="00A2369B" w:rsidP="00A2369B">
      <w:pPr>
        <w:spacing w:before="120"/>
        <w:rPr>
          <w:rFonts w:ascii="Arial" w:hAnsi="Arial" w:cs="Arial"/>
        </w:rPr>
      </w:pPr>
      <w:r w:rsidRPr="00A2369B">
        <w:rPr>
          <w:rFonts w:ascii="Arial" w:hAnsi="Arial" w:cs="Arial"/>
        </w:rPr>
        <w:t>Wymagania dotyczące wykonania odcinka próbnego podano w OST D-05.01.00 „Nawierzchnie gruntowe. Wymagania ogólne” pkt 5.3.</w:t>
      </w:r>
    </w:p>
    <w:p w:rsidR="00A2369B" w:rsidRPr="00A2369B" w:rsidRDefault="00A2369B" w:rsidP="00A2369B">
      <w:pPr>
        <w:spacing w:before="120"/>
        <w:rPr>
          <w:rFonts w:ascii="Arial" w:hAnsi="Arial" w:cs="Arial"/>
        </w:rPr>
      </w:pPr>
      <w:r w:rsidRPr="00A2369B">
        <w:rPr>
          <w:rFonts w:ascii="Arial" w:hAnsi="Arial" w:cs="Arial"/>
          <w:b/>
        </w:rPr>
        <w:t xml:space="preserve">5.3.3. </w:t>
      </w:r>
      <w:r w:rsidRPr="00A2369B">
        <w:rPr>
          <w:rFonts w:ascii="Arial" w:hAnsi="Arial" w:cs="Arial"/>
        </w:rPr>
        <w:t>Wbudowanie i zagęszczanie mieszanki żwirowej</w:t>
      </w:r>
    </w:p>
    <w:p w:rsidR="00A2369B" w:rsidRPr="00A2369B" w:rsidRDefault="00A2369B" w:rsidP="00A2369B">
      <w:pPr>
        <w:spacing w:before="120"/>
        <w:rPr>
          <w:rFonts w:ascii="Arial" w:hAnsi="Arial" w:cs="Arial"/>
        </w:rPr>
      </w:pPr>
      <w:r w:rsidRPr="00A2369B">
        <w:rPr>
          <w:rFonts w:ascii="Arial" w:hAnsi="Arial" w:cs="Arial"/>
        </w:rPr>
        <w:t>Mieszanka żwirowa powinna być rozkładana w warstwie o jednakowej grubości, przy użyciu równiarki. Grubość rozłożonej warstwy mieszanki powinna być taka, aby po jej zagęszczeniu osiągnięto grubość projektowaną, tj.:</w:t>
      </w:r>
    </w:p>
    <w:p w:rsidR="00A2369B" w:rsidRPr="00A2369B" w:rsidRDefault="00A2369B" w:rsidP="00A2369B">
      <w:pPr>
        <w:numPr>
          <w:ilvl w:val="0"/>
          <w:numId w:val="3"/>
        </w:numPr>
        <w:rPr>
          <w:rFonts w:ascii="Arial" w:hAnsi="Arial" w:cs="Arial"/>
        </w:rPr>
      </w:pPr>
      <w:r w:rsidRPr="00A2369B">
        <w:rPr>
          <w:rFonts w:ascii="Arial" w:hAnsi="Arial" w:cs="Arial"/>
        </w:rPr>
        <w:t>dla nawierzchni jednowarstwowej (na podłożu ulepszonym) od 8 do 12 cm,</w:t>
      </w:r>
    </w:p>
    <w:p w:rsidR="00A2369B" w:rsidRPr="00A2369B" w:rsidRDefault="00A2369B" w:rsidP="00A2369B">
      <w:pPr>
        <w:numPr>
          <w:ilvl w:val="0"/>
          <w:numId w:val="3"/>
        </w:numPr>
        <w:rPr>
          <w:rFonts w:ascii="Arial" w:hAnsi="Arial" w:cs="Arial"/>
        </w:rPr>
      </w:pPr>
      <w:r w:rsidRPr="00A2369B">
        <w:rPr>
          <w:rFonts w:ascii="Arial" w:hAnsi="Arial" w:cs="Arial"/>
        </w:rPr>
        <w:t>dla każdej warstwy nawierzchni dwuwarstwowej (na podłoży gruntowym lub warstwie odsączającej) od 10 do 16 cm.</w:t>
      </w:r>
    </w:p>
    <w:p w:rsidR="00A2369B" w:rsidRPr="00A2369B" w:rsidRDefault="00A2369B" w:rsidP="00A2369B">
      <w:pPr>
        <w:rPr>
          <w:rFonts w:ascii="Arial" w:hAnsi="Arial" w:cs="Arial"/>
        </w:rPr>
      </w:pPr>
      <w:r w:rsidRPr="00A2369B">
        <w:rPr>
          <w:rFonts w:ascii="Arial" w:hAnsi="Arial" w:cs="Arial"/>
        </w:rPr>
        <w:t xml:space="preserve">Mieszanka po rozłożeniu powinna być zagęszczona przejściami walca statycznego gładkiego. Zagęszczanie nawierzchni o przekroju daszkowym powinno rozpocząć się od krawędzi i stopniowo </w:t>
      </w:r>
      <w:r w:rsidRPr="00A2369B">
        <w:rPr>
          <w:rFonts w:ascii="Arial" w:hAnsi="Arial" w:cs="Arial"/>
        </w:rPr>
        <w:lastRenderedPageBreak/>
        <w:t xml:space="preserve">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podanego w SST, a w przypadku gdy nie jest on określony, do osiągnięcia wskaźnika zagęszczenia nie mniejszego niż 0,98 zagęszczenia maksymalnego, określonego według normalnej próby </w:t>
      </w:r>
      <w:proofErr w:type="spellStart"/>
      <w:r w:rsidRPr="00A2369B">
        <w:rPr>
          <w:rFonts w:ascii="Arial" w:hAnsi="Arial" w:cs="Arial"/>
        </w:rPr>
        <w:t>Proctora</w:t>
      </w:r>
      <w:proofErr w:type="spellEnd"/>
      <w:r w:rsidRPr="00A2369B">
        <w:rPr>
          <w:rFonts w:ascii="Arial" w:hAnsi="Arial" w:cs="Arial"/>
        </w:rPr>
        <w:t>, zgodnie z PN-B-04481 [1] i BN-77/8931-12 [6].</w:t>
      </w:r>
    </w:p>
    <w:p w:rsidR="00A2369B" w:rsidRPr="00A2369B" w:rsidRDefault="00A2369B" w:rsidP="00A2369B">
      <w:pPr>
        <w:rPr>
          <w:rFonts w:ascii="Arial" w:hAnsi="Arial" w:cs="Arial"/>
        </w:rPr>
      </w:pPr>
      <w:r w:rsidRPr="00A2369B">
        <w:rPr>
          <w:rFonts w:ascii="Arial" w:hAnsi="Arial" w:cs="Arial"/>
        </w:rPr>
        <w:t>Wilgotność mieszanki żwirowej w czasie zagęszczania powinna być równa wilgotności optymalnej. W przypadku gdy wilgotność mieszanki jest wyższa o więcej niż 2% od wilgotności optymalnej, mieszankę należy osuszyć w sposób zaakceptowany przez Inżyniera, a w przypadku gdy jest niższa o więcej niż 2% - zwilżyć określoną ilością wody. Wilgotność można badać dowolną metodą (zaleca się piknometr polowy lub powietrzny).</w:t>
      </w:r>
    </w:p>
    <w:p w:rsidR="00A2369B" w:rsidRPr="00A2369B" w:rsidRDefault="00A2369B" w:rsidP="00A2369B">
      <w:pPr>
        <w:rPr>
          <w:rFonts w:ascii="Arial" w:hAnsi="Arial" w:cs="Arial"/>
        </w:rPr>
      </w:pPr>
      <w:r w:rsidRPr="00A2369B">
        <w:rPr>
          <w:rFonts w:ascii="Arial" w:hAnsi="Arial" w:cs="Arial"/>
        </w:rPr>
        <w:tab/>
        <w:t>Jeżeli nawierzchnię żwirową wykonuje się dwuwarstwowo, to każda warstwa powinna być wyprofilowana i zagęszczona z zachowaniem wymogów jak wyżej.</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5.4. Utrzymanie nawierzchni żwirowej</w:t>
      </w:r>
    </w:p>
    <w:p w:rsidR="00710C8D" w:rsidRPr="00710C8D" w:rsidRDefault="00710C8D" w:rsidP="00710C8D">
      <w:pPr>
        <w:rPr>
          <w:sz w:val="10"/>
          <w:szCs w:val="10"/>
        </w:rPr>
      </w:pPr>
    </w:p>
    <w:p w:rsidR="00A2369B" w:rsidRPr="00710C8D" w:rsidRDefault="00A2369B" w:rsidP="00A2369B">
      <w:pPr>
        <w:rPr>
          <w:rFonts w:ascii="Arial" w:hAnsi="Arial" w:cs="Arial"/>
        </w:rPr>
      </w:pPr>
      <w:r w:rsidRPr="00710C8D">
        <w:rPr>
          <w:rFonts w:ascii="Arial" w:hAnsi="Arial" w:cs="Arial"/>
        </w:rPr>
        <w:t>Nawierzchnia żwirowa po oddaniu do eksploatacji powinna być pielęgnowana. W pierwszych dniach po wykonaniu nawierzchni należy dbać, aby była ona stale wilgotna, zraszając ją wodą ze zbiorników przewoźnych.</w:t>
      </w:r>
      <w:r w:rsidR="00710C8D">
        <w:rPr>
          <w:rFonts w:ascii="Arial" w:hAnsi="Arial" w:cs="Arial"/>
        </w:rPr>
        <w:t xml:space="preserve"> </w:t>
      </w:r>
      <w:r w:rsidRPr="00710C8D">
        <w:rPr>
          <w:rFonts w:ascii="Arial" w:hAnsi="Arial" w:cs="Arial"/>
        </w:rPr>
        <w:t>Nawierzchnia powinna być równomiernie zajeżdżana (dogęszczana) przez samochody na całej jej szerokości, w okresie 2 tygodni, w związku z czym zaleca się przekładanie ruchu na różne pasy przez odpowiednie ustawienie zastaw.</w:t>
      </w:r>
    </w:p>
    <w:p w:rsidR="00A2369B" w:rsidRPr="00710C8D" w:rsidRDefault="00A2369B" w:rsidP="00A2369B">
      <w:pPr>
        <w:rPr>
          <w:rFonts w:ascii="Arial" w:hAnsi="Arial" w:cs="Arial"/>
        </w:rPr>
      </w:pPr>
      <w:r w:rsidRPr="00710C8D">
        <w:rPr>
          <w:rFonts w:ascii="Arial" w:hAnsi="Arial" w:cs="Arial"/>
        </w:rPr>
        <w:t>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w:t>
      </w:r>
    </w:p>
    <w:p w:rsidR="00A2369B" w:rsidRPr="00710C8D" w:rsidRDefault="00A2369B" w:rsidP="00A2369B">
      <w:pPr>
        <w:pStyle w:val="Nagwek1"/>
        <w:rPr>
          <w:rFonts w:ascii="Arial" w:hAnsi="Arial" w:cs="Arial"/>
          <w:sz w:val="22"/>
          <w:szCs w:val="22"/>
        </w:rPr>
      </w:pPr>
      <w:bookmarkStart w:id="6" w:name="_Toc423749687"/>
      <w:r w:rsidRPr="00710C8D">
        <w:rPr>
          <w:rFonts w:ascii="Arial" w:hAnsi="Arial" w:cs="Arial"/>
          <w:sz w:val="22"/>
          <w:szCs w:val="22"/>
        </w:rPr>
        <w:t>6. kontrola jakości robót</w:t>
      </w:r>
      <w:bookmarkEnd w:id="6"/>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6.1. Ogólne zasady kontroli jakości robót</w:t>
      </w:r>
    </w:p>
    <w:p w:rsidR="00710C8D" w:rsidRPr="00710C8D" w:rsidRDefault="00710C8D" w:rsidP="00710C8D">
      <w:pPr>
        <w:rPr>
          <w:sz w:val="10"/>
          <w:szCs w:val="10"/>
        </w:rPr>
      </w:pPr>
    </w:p>
    <w:p w:rsidR="00A2369B" w:rsidRPr="00710C8D" w:rsidRDefault="00A2369B" w:rsidP="00A2369B">
      <w:pPr>
        <w:rPr>
          <w:rFonts w:ascii="Arial" w:hAnsi="Arial" w:cs="Arial"/>
        </w:rPr>
      </w:pPr>
      <w:r w:rsidRPr="00710C8D">
        <w:rPr>
          <w:rFonts w:ascii="Arial" w:hAnsi="Arial" w:cs="Arial"/>
        </w:rPr>
        <w:t>Ogólne zasady k</w:t>
      </w:r>
      <w:r w:rsidR="00710C8D">
        <w:rPr>
          <w:rFonts w:ascii="Arial" w:hAnsi="Arial" w:cs="Arial"/>
        </w:rPr>
        <w:t>ontroli jakości robót podano w S</w:t>
      </w:r>
      <w:r w:rsidRPr="00710C8D">
        <w:rPr>
          <w:rFonts w:ascii="Arial" w:hAnsi="Arial" w:cs="Arial"/>
        </w:rPr>
        <w:t>ST D-00.00.00 „Wymagania ogólne” pkt 6.</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6.2. Badania przed przystąpieniem do robót</w:t>
      </w:r>
    </w:p>
    <w:p w:rsidR="00710C8D" w:rsidRDefault="00710C8D" w:rsidP="00710C8D">
      <w:pPr>
        <w:rPr>
          <w:sz w:val="10"/>
          <w:szCs w:val="10"/>
        </w:rPr>
      </w:pPr>
    </w:p>
    <w:p w:rsidR="00710C8D" w:rsidRPr="00710C8D" w:rsidRDefault="00710C8D" w:rsidP="00710C8D">
      <w:pPr>
        <w:rPr>
          <w:sz w:val="10"/>
          <w:szCs w:val="10"/>
        </w:rPr>
      </w:pPr>
    </w:p>
    <w:p w:rsidR="00A2369B" w:rsidRPr="00A2369B" w:rsidRDefault="00A2369B" w:rsidP="00A2369B">
      <w:pPr>
        <w:rPr>
          <w:rFonts w:ascii="Arial" w:hAnsi="Arial" w:cs="Arial"/>
        </w:rPr>
      </w:pPr>
      <w:r w:rsidRPr="00A2369B">
        <w:rPr>
          <w:rFonts w:ascii="Arial" w:hAnsi="Arial" w:cs="Arial"/>
        </w:rPr>
        <w:t>Przed przystąpieniem do robót Wykonawca powinien wykonać badania kruszyw przeznaczonych do produkcji mieszanki żwirowej i przedstawić wyniki tych badań Inżynierowi do akceptacji.</w:t>
      </w:r>
    </w:p>
    <w:p w:rsidR="00A2369B" w:rsidRDefault="00A2369B" w:rsidP="00A2369B">
      <w:pPr>
        <w:pStyle w:val="Nagwek2"/>
        <w:ind w:left="425" w:hanging="425"/>
        <w:rPr>
          <w:rFonts w:ascii="Arial" w:hAnsi="Arial" w:cs="Arial"/>
          <w:color w:val="auto"/>
          <w:sz w:val="22"/>
          <w:szCs w:val="22"/>
        </w:rPr>
      </w:pPr>
      <w:r w:rsidRPr="00710C8D">
        <w:rPr>
          <w:rFonts w:ascii="Arial" w:hAnsi="Arial" w:cs="Arial"/>
          <w:color w:val="auto"/>
          <w:sz w:val="22"/>
          <w:szCs w:val="22"/>
        </w:rPr>
        <w:t>6.3. Badania dotyczące cech geometrycznych i właściwości nawierzchni żwirowej</w:t>
      </w:r>
    </w:p>
    <w:p w:rsidR="00710C8D" w:rsidRPr="00710C8D" w:rsidRDefault="00710C8D" w:rsidP="00710C8D">
      <w:pPr>
        <w:rPr>
          <w:sz w:val="10"/>
          <w:szCs w:val="10"/>
        </w:rPr>
      </w:pPr>
    </w:p>
    <w:p w:rsidR="00A2369B" w:rsidRPr="00A2369B" w:rsidRDefault="00A2369B" w:rsidP="00A2369B">
      <w:pPr>
        <w:pStyle w:val="tekstost"/>
        <w:spacing w:after="120"/>
        <w:rPr>
          <w:rFonts w:ascii="Arial" w:hAnsi="Arial" w:cs="Arial"/>
        </w:rPr>
      </w:pPr>
      <w:r w:rsidRPr="00A2369B">
        <w:rPr>
          <w:rFonts w:ascii="Arial" w:hAnsi="Arial" w:cs="Arial"/>
          <w:b/>
        </w:rPr>
        <w:t xml:space="preserve">6.3.1. </w:t>
      </w:r>
      <w:r w:rsidRPr="00A2369B">
        <w:rPr>
          <w:rFonts w:ascii="Arial" w:hAnsi="Arial" w:cs="Arial"/>
        </w:rPr>
        <w:t>Częstotliwość oraz zakres badań i pomiarów</w:t>
      </w:r>
    </w:p>
    <w:p w:rsidR="00A2369B" w:rsidRPr="00A2369B" w:rsidRDefault="00A2369B" w:rsidP="00A2369B">
      <w:pPr>
        <w:pStyle w:val="tekstost"/>
        <w:rPr>
          <w:rFonts w:ascii="Arial" w:hAnsi="Arial" w:cs="Arial"/>
        </w:rPr>
      </w:pPr>
      <w:r w:rsidRPr="00A2369B">
        <w:rPr>
          <w:rFonts w:ascii="Arial" w:hAnsi="Arial" w:cs="Arial"/>
        </w:rPr>
        <w:t>Częstotliwość oraz zakres badań i pomiarów wykonanej nawierzchni żwirowej  podaje tablica 2.</w:t>
      </w:r>
    </w:p>
    <w:p w:rsidR="00A2369B" w:rsidRPr="00A2369B" w:rsidRDefault="00A2369B" w:rsidP="00A2369B">
      <w:pPr>
        <w:pStyle w:val="tekstost"/>
        <w:spacing w:before="120" w:after="120"/>
        <w:ind w:left="851" w:hanging="851"/>
        <w:rPr>
          <w:rFonts w:ascii="Arial" w:hAnsi="Arial" w:cs="Arial"/>
        </w:rPr>
      </w:pPr>
      <w:r w:rsidRPr="00A2369B">
        <w:rPr>
          <w:rFonts w:ascii="Arial" w:hAnsi="Arial" w:cs="Arial"/>
        </w:rPr>
        <w:t xml:space="preserve">Tablica 2. Częstotliwość oraz zakres badań i pomiarów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260"/>
        <w:gridCol w:w="4819"/>
      </w:tblGrid>
      <w:tr w:rsidR="00A2369B" w:rsidRPr="00A2369B" w:rsidTr="00710C8D">
        <w:tc>
          <w:tcPr>
            <w:tcW w:w="496" w:type="dxa"/>
            <w:tcBorders>
              <w:top w:val="single" w:sz="6" w:space="0" w:color="auto"/>
              <w:left w:val="single" w:sz="6" w:space="0" w:color="auto"/>
              <w:bottom w:val="double" w:sz="6" w:space="0" w:color="auto"/>
              <w:right w:val="single" w:sz="6" w:space="0" w:color="auto"/>
            </w:tcBorders>
            <w:hideMark/>
          </w:tcPr>
          <w:p w:rsidR="00A2369B" w:rsidRPr="00A2369B" w:rsidRDefault="00A2369B">
            <w:pPr>
              <w:pStyle w:val="tekstost"/>
              <w:spacing w:before="60" w:after="60"/>
              <w:jc w:val="center"/>
              <w:rPr>
                <w:rFonts w:ascii="Arial" w:hAnsi="Arial" w:cs="Arial"/>
              </w:rPr>
            </w:pPr>
            <w:r w:rsidRPr="00A2369B">
              <w:rPr>
                <w:rFonts w:ascii="Arial" w:hAnsi="Arial" w:cs="Arial"/>
              </w:rPr>
              <w:t>Lp.</w:t>
            </w:r>
          </w:p>
        </w:tc>
        <w:tc>
          <w:tcPr>
            <w:tcW w:w="3260" w:type="dxa"/>
            <w:tcBorders>
              <w:top w:val="single" w:sz="6" w:space="0" w:color="auto"/>
              <w:left w:val="single" w:sz="6" w:space="0" w:color="auto"/>
              <w:bottom w:val="double" w:sz="6" w:space="0" w:color="auto"/>
              <w:right w:val="single" w:sz="6" w:space="0" w:color="auto"/>
            </w:tcBorders>
            <w:hideMark/>
          </w:tcPr>
          <w:p w:rsidR="00A2369B" w:rsidRPr="00A2369B" w:rsidRDefault="00A2369B">
            <w:pPr>
              <w:pStyle w:val="tekstost"/>
              <w:spacing w:before="60" w:after="60"/>
              <w:jc w:val="center"/>
              <w:rPr>
                <w:rFonts w:ascii="Arial" w:hAnsi="Arial" w:cs="Arial"/>
              </w:rPr>
            </w:pPr>
            <w:r w:rsidRPr="00A2369B">
              <w:rPr>
                <w:rFonts w:ascii="Arial" w:hAnsi="Arial" w:cs="Arial"/>
              </w:rPr>
              <w:t>Wyszczególnienie badań</w:t>
            </w:r>
          </w:p>
        </w:tc>
        <w:tc>
          <w:tcPr>
            <w:tcW w:w="4819" w:type="dxa"/>
            <w:tcBorders>
              <w:top w:val="single" w:sz="6" w:space="0" w:color="auto"/>
              <w:left w:val="single" w:sz="6" w:space="0" w:color="auto"/>
              <w:bottom w:val="double" w:sz="6" w:space="0" w:color="auto"/>
              <w:right w:val="single" w:sz="6" w:space="0" w:color="auto"/>
            </w:tcBorders>
            <w:hideMark/>
          </w:tcPr>
          <w:p w:rsidR="00A2369B" w:rsidRPr="00A2369B" w:rsidRDefault="00A2369B">
            <w:pPr>
              <w:pStyle w:val="tekstost"/>
              <w:spacing w:before="60" w:after="60"/>
              <w:jc w:val="center"/>
              <w:rPr>
                <w:rFonts w:ascii="Arial" w:hAnsi="Arial" w:cs="Arial"/>
              </w:rPr>
            </w:pPr>
            <w:r w:rsidRPr="00A2369B">
              <w:rPr>
                <w:rFonts w:ascii="Arial" w:hAnsi="Arial" w:cs="Arial"/>
              </w:rPr>
              <w:t>Minimalna częstotliwość badań i pomiarów</w:t>
            </w:r>
          </w:p>
        </w:tc>
      </w:tr>
      <w:tr w:rsidR="00A2369B" w:rsidRPr="00A2369B" w:rsidTr="00710C8D">
        <w:tc>
          <w:tcPr>
            <w:tcW w:w="496"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before="120" w:after="20"/>
              <w:jc w:val="center"/>
              <w:rPr>
                <w:rFonts w:ascii="Arial" w:hAnsi="Arial" w:cs="Arial"/>
              </w:rPr>
            </w:pPr>
            <w:r w:rsidRPr="00A2369B">
              <w:rPr>
                <w:rFonts w:ascii="Arial" w:hAnsi="Arial" w:cs="Arial"/>
              </w:rPr>
              <w:t>1</w:t>
            </w:r>
          </w:p>
        </w:tc>
        <w:tc>
          <w:tcPr>
            <w:tcW w:w="3260"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before="120" w:after="20"/>
              <w:rPr>
                <w:rFonts w:ascii="Arial" w:hAnsi="Arial" w:cs="Arial"/>
              </w:rPr>
            </w:pPr>
            <w:r w:rsidRPr="00A2369B">
              <w:rPr>
                <w:rFonts w:ascii="Arial" w:hAnsi="Arial" w:cs="Arial"/>
              </w:rPr>
              <w:t xml:space="preserve">Ukształtowanie osi w planie </w:t>
            </w:r>
          </w:p>
        </w:tc>
        <w:tc>
          <w:tcPr>
            <w:tcW w:w="4819"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co 100 m oraz w punktach głównych łuków poziomych</w:t>
            </w:r>
          </w:p>
        </w:tc>
      </w:tr>
      <w:tr w:rsidR="00A2369B" w:rsidRPr="00A2369B" w:rsidTr="00710C8D">
        <w:tc>
          <w:tcPr>
            <w:tcW w:w="496"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2</w:t>
            </w:r>
          </w:p>
        </w:tc>
        <w:tc>
          <w:tcPr>
            <w:tcW w:w="3260"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Rzędne wysokościowe</w:t>
            </w:r>
          </w:p>
        </w:tc>
        <w:tc>
          <w:tcPr>
            <w:tcW w:w="4819"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co 100 m</w:t>
            </w:r>
          </w:p>
        </w:tc>
      </w:tr>
      <w:tr w:rsidR="00A2369B" w:rsidRPr="00A2369B" w:rsidTr="00710C8D">
        <w:tc>
          <w:tcPr>
            <w:tcW w:w="496"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3</w:t>
            </w:r>
          </w:p>
        </w:tc>
        <w:tc>
          <w:tcPr>
            <w:tcW w:w="3260"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Równość podłużna</w:t>
            </w:r>
          </w:p>
        </w:tc>
        <w:tc>
          <w:tcPr>
            <w:tcW w:w="4819"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co 20 m na każdym pasie ruchu</w:t>
            </w:r>
          </w:p>
        </w:tc>
      </w:tr>
      <w:tr w:rsidR="00A2369B" w:rsidRPr="00A2369B" w:rsidTr="00710C8D">
        <w:tc>
          <w:tcPr>
            <w:tcW w:w="496"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4</w:t>
            </w:r>
          </w:p>
        </w:tc>
        <w:tc>
          <w:tcPr>
            <w:tcW w:w="3260"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Równość poprzeczna</w:t>
            </w:r>
          </w:p>
        </w:tc>
        <w:tc>
          <w:tcPr>
            <w:tcW w:w="4819"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10 pomiarów na 1 km</w:t>
            </w:r>
          </w:p>
        </w:tc>
      </w:tr>
      <w:tr w:rsidR="00A2369B" w:rsidRPr="00A2369B" w:rsidTr="00710C8D">
        <w:tc>
          <w:tcPr>
            <w:tcW w:w="496"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before="120" w:after="20"/>
              <w:jc w:val="center"/>
              <w:rPr>
                <w:rFonts w:ascii="Arial" w:hAnsi="Arial" w:cs="Arial"/>
              </w:rPr>
            </w:pPr>
            <w:r w:rsidRPr="00A2369B">
              <w:rPr>
                <w:rFonts w:ascii="Arial" w:hAnsi="Arial" w:cs="Arial"/>
              </w:rPr>
              <w:t>5</w:t>
            </w:r>
          </w:p>
        </w:tc>
        <w:tc>
          <w:tcPr>
            <w:tcW w:w="3260"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before="120" w:after="20"/>
              <w:rPr>
                <w:rFonts w:ascii="Arial" w:hAnsi="Arial" w:cs="Arial"/>
              </w:rPr>
            </w:pPr>
            <w:r w:rsidRPr="00A2369B">
              <w:rPr>
                <w:rFonts w:ascii="Arial" w:hAnsi="Arial" w:cs="Arial"/>
              </w:rPr>
              <w:t>Spadki poprzeczne</w:t>
            </w:r>
          </w:p>
        </w:tc>
        <w:tc>
          <w:tcPr>
            <w:tcW w:w="4819" w:type="dxa"/>
            <w:tcBorders>
              <w:top w:val="nil"/>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10 pomiarów na 1 km oraz w punktach głównych łuków poziomych</w:t>
            </w:r>
          </w:p>
        </w:tc>
      </w:tr>
      <w:tr w:rsidR="00A2369B" w:rsidRPr="00A2369B" w:rsidTr="00710C8D">
        <w:tc>
          <w:tcPr>
            <w:tcW w:w="496"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6</w:t>
            </w:r>
          </w:p>
        </w:tc>
        <w:tc>
          <w:tcPr>
            <w:tcW w:w="3260"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 xml:space="preserve">Szerokość </w:t>
            </w:r>
          </w:p>
        </w:tc>
        <w:tc>
          <w:tcPr>
            <w:tcW w:w="4819"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10 pomiarów  na 1 km</w:t>
            </w:r>
          </w:p>
        </w:tc>
      </w:tr>
      <w:tr w:rsidR="00A2369B" w:rsidRPr="00A2369B" w:rsidTr="00710C8D">
        <w:tc>
          <w:tcPr>
            <w:tcW w:w="496"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7</w:t>
            </w:r>
          </w:p>
        </w:tc>
        <w:tc>
          <w:tcPr>
            <w:tcW w:w="3260"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Grubość</w:t>
            </w:r>
          </w:p>
        </w:tc>
        <w:tc>
          <w:tcPr>
            <w:tcW w:w="4819"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10 pomiarów  na 1 km</w:t>
            </w:r>
          </w:p>
        </w:tc>
      </w:tr>
      <w:tr w:rsidR="00A2369B" w:rsidRPr="00A2369B" w:rsidTr="00710C8D">
        <w:tc>
          <w:tcPr>
            <w:tcW w:w="496"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jc w:val="center"/>
              <w:rPr>
                <w:rFonts w:ascii="Arial" w:hAnsi="Arial" w:cs="Arial"/>
              </w:rPr>
            </w:pPr>
            <w:r w:rsidRPr="00A2369B">
              <w:rPr>
                <w:rFonts w:ascii="Arial" w:hAnsi="Arial" w:cs="Arial"/>
              </w:rPr>
              <w:t>8</w:t>
            </w:r>
          </w:p>
        </w:tc>
        <w:tc>
          <w:tcPr>
            <w:tcW w:w="3260"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Zagęszczenie</w:t>
            </w:r>
          </w:p>
        </w:tc>
        <w:tc>
          <w:tcPr>
            <w:tcW w:w="4819" w:type="dxa"/>
            <w:tcBorders>
              <w:top w:val="single" w:sz="6" w:space="0" w:color="auto"/>
              <w:left w:val="single" w:sz="6" w:space="0" w:color="auto"/>
              <w:bottom w:val="single" w:sz="6" w:space="0" w:color="auto"/>
              <w:right w:val="single" w:sz="6" w:space="0" w:color="auto"/>
            </w:tcBorders>
            <w:hideMark/>
          </w:tcPr>
          <w:p w:rsidR="00A2369B" w:rsidRPr="00A2369B" w:rsidRDefault="00A2369B">
            <w:pPr>
              <w:pStyle w:val="tekstost"/>
              <w:spacing w:after="20"/>
              <w:rPr>
                <w:rFonts w:ascii="Arial" w:hAnsi="Arial" w:cs="Arial"/>
              </w:rPr>
            </w:pPr>
            <w:r w:rsidRPr="00A2369B">
              <w:rPr>
                <w:rFonts w:ascii="Arial" w:hAnsi="Arial" w:cs="Arial"/>
              </w:rPr>
              <w:t>1 badanie na 600 m</w:t>
            </w:r>
            <w:r w:rsidRPr="00A2369B">
              <w:rPr>
                <w:rFonts w:ascii="Arial" w:hAnsi="Arial" w:cs="Arial"/>
                <w:vertAlign w:val="superscript"/>
              </w:rPr>
              <w:t>2</w:t>
            </w:r>
            <w:r w:rsidRPr="00A2369B">
              <w:rPr>
                <w:rFonts w:ascii="Arial" w:hAnsi="Arial" w:cs="Arial"/>
              </w:rPr>
              <w:t xml:space="preserve"> nawierzchni</w:t>
            </w:r>
          </w:p>
        </w:tc>
      </w:tr>
    </w:tbl>
    <w:p w:rsidR="00A2369B" w:rsidRPr="00A2369B" w:rsidRDefault="00A2369B" w:rsidP="00A2369B">
      <w:pPr>
        <w:pStyle w:val="tekstost"/>
        <w:spacing w:before="240"/>
        <w:rPr>
          <w:rFonts w:ascii="Arial" w:hAnsi="Arial" w:cs="Arial"/>
        </w:rPr>
      </w:pPr>
      <w:r w:rsidRPr="00A2369B">
        <w:rPr>
          <w:rFonts w:ascii="Arial" w:hAnsi="Arial" w:cs="Arial"/>
          <w:b/>
        </w:rPr>
        <w:t xml:space="preserve">6.3.2. </w:t>
      </w:r>
      <w:r w:rsidRPr="00A2369B">
        <w:rPr>
          <w:rFonts w:ascii="Arial" w:hAnsi="Arial" w:cs="Arial"/>
        </w:rPr>
        <w:t>Ukształtowanie osi nawierzchni</w:t>
      </w:r>
    </w:p>
    <w:p w:rsidR="00A2369B" w:rsidRPr="00A2369B" w:rsidRDefault="00A2369B" w:rsidP="00A2369B">
      <w:pPr>
        <w:pStyle w:val="tekstost"/>
        <w:spacing w:before="120"/>
        <w:rPr>
          <w:rFonts w:ascii="Arial" w:hAnsi="Arial" w:cs="Arial"/>
        </w:rPr>
      </w:pPr>
      <w:r w:rsidRPr="00A2369B">
        <w:rPr>
          <w:rFonts w:ascii="Arial" w:hAnsi="Arial" w:cs="Arial"/>
        </w:rPr>
        <w:lastRenderedPageBreak/>
        <w:t xml:space="preserve">Oś nawierzchni w planie nie może być przesunięta w stosunku do osi projektowanej o więcej niż </w:t>
      </w:r>
      <w:r w:rsidRPr="00A2369B">
        <w:rPr>
          <w:rFonts w:ascii="Arial" w:hAnsi="Arial" w:cs="Arial"/>
        </w:rPr>
        <w:sym w:font="Symbol" w:char="F0B1"/>
      </w:r>
      <w:r w:rsidRPr="00A2369B">
        <w:rPr>
          <w:rFonts w:ascii="Arial" w:hAnsi="Arial" w:cs="Arial"/>
        </w:rPr>
        <w:t xml:space="preserve"> 5 cm.</w:t>
      </w:r>
    </w:p>
    <w:p w:rsidR="00A2369B" w:rsidRPr="00A2369B" w:rsidRDefault="00A2369B" w:rsidP="00A2369B">
      <w:pPr>
        <w:pStyle w:val="tekstost"/>
        <w:spacing w:before="120"/>
        <w:rPr>
          <w:rFonts w:ascii="Arial" w:hAnsi="Arial" w:cs="Arial"/>
        </w:rPr>
      </w:pPr>
      <w:r w:rsidRPr="00A2369B">
        <w:rPr>
          <w:rFonts w:ascii="Arial" w:hAnsi="Arial" w:cs="Arial"/>
          <w:b/>
        </w:rPr>
        <w:t xml:space="preserve">6.3.3. </w:t>
      </w:r>
      <w:r w:rsidRPr="00A2369B">
        <w:rPr>
          <w:rFonts w:ascii="Arial" w:hAnsi="Arial" w:cs="Arial"/>
        </w:rPr>
        <w:t xml:space="preserve">Rzędne wysokościowe </w:t>
      </w:r>
    </w:p>
    <w:p w:rsidR="00A2369B" w:rsidRPr="00A2369B" w:rsidRDefault="00A2369B" w:rsidP="00A2369B">
      <w:pPr>
        <w:pStyle w:val="tekstost"/>
        <w:spacing w:before="120"/>
        <w:rPr>
          <w:rFonts w:ascii="Arial" w:hAnsi="Arial" w:cs="Arial"/>
        </w:rPr>
      </w:pPr>
      <w:r w:rsidRPr="00A2369B">
        <w:rPr>
          <w:rFonts w:ascii="Arial" w:hAnsi="Arial" w:cs="Arial"/>
        </w:rPr>
        <w:t>Odchylenia rzędnych wysokościowych nawierzchni od rzędnych projektowanych nie powinno być większe niż +1 cm i -3 cm.</w:t>
      </w:r>
    </w:p>
    <w:p w:rsidR="00A2369B" w:rsidRPr="00A2369B" w:rsidRDefault="00A2369B" w:rsidP="00A2369B">
      <w:pPr>
        <w:pStyle w:val="tekstost"/>
        <w:spacing w:before="120"/>
        <w:rPr>
          <w:rFonts w:ascii="Arial" w:hAnsi="Arial" w:cs="Arial"/>
        </w:rPr>
      </w:pPr>
      <w:r w:rsidRPr="00A2369B">
        <w:rPr>
          <w:rFonts w:ascii="Arial" w:hAnsi="Arial" w:cs="Arial"/>
          <w:b/>
        </w:rPr>
        <w:t xml:space="preserve">6.3.4. </w:t>
      </w:r>
      <w:r w:rsidRPr="00A2369B">
        <w:rPr>
          <w:rFonts w:ascii="Arial" w:hAnsi="Arial" w:cs="Arial"/>
        </w:rPr>
        <w:t>Równość nawierzchni</w:t>
      </w:r>
    </w:p>
    <w:p w:rsidR="00A2369B" w:rsidRPr="00A2369B" w:rsidRDefault="00A2369B" w:rsidP="00A2369B">
      <w:pPr>
        <w:pStyle w:val="tekstost"/>
        <w:spacing w:before="120"/>
        <w:rPr>
          <w:rFonts w:ascii="Arial" w:hAnsi="Arial" w:cs="Arial"/>
        </w:rPr>
      </w:pPr>
      <w:r w:rsidRPr="00A2369B">
        <w:rPr>
          <w:rFonts w:ascii="Arial" w:hAnsi="Arial" w:cs="Arial"/>
        </w:rPr>
        <w:t>Nierówności podłużne nawierzchni należy mierzyć łatą 4-metrową, zgodnie z normą BN-68/8931-04 [5]. Nierówności poprzeczne należy mierzyć 4-metrową łatą. Nierówności nawierzchni nie powinny przekraczać 15 mm.</w:t>
      </w:r>
    </w:p>
    <w:p w:rsidR="00A2369B" w:rsidRPr="00A2369B" w:rsidRDefault="00A2369B" w:rsidP="00A2369B">
      <w:pPr>
        <w:pStyle w:val="tekstost"/>
        <w:keepNext/>
        <w:spacing w:before="120"/>
        <w:rPr>
          <w:rFonts w:ascii="Arial" w:hAnsi="Arial" w:cs="Arial"/>
        </w:rPr>
      </w:pPr>
      <w:r w:rsidRPr="00A2369B">
        <w:rPr>
          <w:rFonts w:ascii="Arial" w:hAnsi="Arial" w:cs="Arial"/>
          <w:b/>
        </w:rPr>
        <w:t xml:space="preserve">6.3.5. </w:t>
      </w:r>
      <w:r w:rsidRPr="00A2369B">
        <w:rPr>
          <w:rFonts w:ascii="Arial" w:hAnsi="Arial" w:cs="Arial"/>
        </w:rPr>
        <w:t>Spadki poprzeczne nawierzchni</w:t>
      </w:r>
    </w:p>
    <w:p w:rsidR="00A2369B" w:rsidRPr="00A2369B" w:rsidRDefault="00A2369B" w:rsidP="00A2369B">
      <w:pPr>
        <w:pStyle w:val="tekstost"/>
        <w:spacing w:before="120"/>
        <w:rPr>
          <w:rFonts w:ascii="Arial" w:hAnsi="Arial" w:cs="Arial"/>
        </w:rPr>
      </w:pPr>
      <w:r w:rsidRPr="00A2369B">
        <w:rPr>
          <w:rFonts w:ascii="Arial" w:hAnsi="Arial" w:cs="Arial"/>
        </w:rPr>
        <w:t xml:space="preserve">Spadki poprzeczne nawierzchni na prostych i łukach powinny być zgodne z dokumentacją projektową z tolerancją </w:t>
      </w:r>
      <w:r w:rsidRPr="00A2369B">
        <w:rPr>
          <w:rFonts w:ascii="Arial" w:hAnsi="Arial" w:cs="Arial"/>
        </w:rPr>
        <w:sym w:font="Symbol" w:char="F0B1"/>
      </w:r>
      <w:r w:rsidRPr="00A2369B">
        <w:rPr>
          <w:rFonts w:ascii="Arial" w:hAnsi="Arial" w:cs="Arial"/>
        </w:rPr>
        <w:t xml:space="preserve"> 0,5%.</w:t>
      </w:r>
    </w:p>
    <w:p w:rsidR="00A2369B" w:rsidRPr="00A2369B" w:rsidRDefault="00A2369B" w:rsidP="00A2369B">
      <w:pPr>
        <w:pStyle w:val="tekstost"/>
        <w:spacing w:before="120"/>
        <w:rPr>
          <w:rFonts w:ascii="Arial" w:hAnsi="Arial" w:cs="Arial"/>
        </w:rPr>
      </w:pPr>
      <w:r w:rsidRPr="00A2369B">
        <w:rPr>
          <w:rFonts w:ascii="Arial" w:hAnsi="Arial" w:cs="Arial"/>
          <w:b/>
        </w:rPr>
        <w:t xml:space="preserve">6.3.6. </w:t>
      </w:r>
      <w:r w:rsidRPr="00A2369B">
        <w:rPr>
          <w:rFonts w:ascii="Arial" w:hAnsi="Arial" w:cs="Arial"/>
        </w:rPr>
        <w:t>Szerokość nawierzchni</w:t>
      </w:r>
    </w:p>
    <w:p w:rsidR="00A2369B" w:rsidRPr="00A2369B" w:rsidRDefault="00A2369B" w:rsidP="00A2369B">
      <w:pPr>
        <w:pStyle w:val="tekstost"/>
        <w:spacing w:before="120"/>
        <w:rPr>
          <w:rFonts w:ascii="Arial" w:hAnsi="Arial" w:cs="Arial"/>
        </w:rPr>
      </w:pPr>
      <w:r w:rsidRPr="00A2369B">
        <w:rPr>
          <w:rFonts w:ascii="Arial" w:hAnsi="Arial" w:cs="Arial"/>
        </w:rPr>
        <w:t>Szerokość nawierzchni nie może różnić się od szerokości projektowanej o więcej niż -5 cm i +10 cm.</w:t>
      </w:r>
    </w:p>
    <w:p w:rsidR="00A2369B" w:rsidRPr="00A2369B" w:rsidRDefault="00A2369B" w:rsidP="00A2369B">
      <w:pPr>
        <w:pStyle w:val="tekstost"/>
        <w:spacing w:before="120"/>
        <w:rPr>
          <w:rFonts w:ascii="Arial" w:hAnsi="Arial" w:cs="Arial"/>
        </w:rPr>
      </w:pPr>
      <w:r w:rsidRPr="00A2369B">
        <w:rPr>
          <w:rFonts w:ascii="Arial" w:hAnsi="Arial" w:cs="Arial"/>
          <w:b/>
        </w:rPr>
        <w:t xml:space="preserve">6.3.7. </w:t>
      </w:r>
      <w:r w:rsidRPr="00A2369B">
        <w:rPr>
          <w:rFonts w:ascii="Arial" w:hAnsi="Arial" w:cs="Arial"/>
        </w:rPr>
        <w:t>Grubość warstw</w:t>
      </w:r>
    </w:p>
    <w:p w:rsidR="00A2369B" w:rsidRPr="00A2369B" w:rsidRDefault="00A2369B" w:rsidP="00A2369B">
      <w:pPr>
        <w:pStyle w:val="tekstost"/>
        <w:spacing w:before="120"/>
        <w:rPr>
          <w:rFonts w:ascii="Arial" w:hAnsi="Arial" w:cs="Arial"/>
        </w:rPr>
      </w:pPr>
      <w:r w:rsidRPr="00A2369B">
        <w:rPr>
          <w:rFonts w:ascii="Arial" w:hAnsi="Arial" w:cs="Arial"/>
        </w:rPr>
        <w:t xml:space="preserve">Grubość warstw należy sprawdzać przez wykopanie dołków kontrolnych w połowie szerokości nawierzchni. Dopuszczalne odchyłki od projektowanej grubości nie powinny przekraczać </w:t>
      </w:r>
      <w:r w:rsidRPr="00A2369B">
        <w:rPr>
          <w:rFonts w:ascii="Arial" w:hAnsi="Arial" w:cs="Arial"/>
        </w:rPr>
        <w:sym w:font="Symbol" w:char="F0B1"/>
      </w:r>
      <w:r w:rsidRPr="00A2369B">
        <w:rPr>
          <w:rFonts w:ascii="Arial" w:hAnsi="Arial" w:cs="Arial"/>
        </w:rPr>
        <w:t xml:space="preserve"> 1 cm.</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6.4. Sprawdzenie odwodnienia</w:t>
      </w:r>
    </w:p>
    <w:p w:rsidR="00710C8D" w:rsidRPr="00710C8D" w:rsidRDefault="00710C8D" w:rsidP="00710C8D">
      <w:pPr>
        <w:rPr>
          <w:sz w:val="10"/>
          <w:szCs w:val="10"/>
        </w:rPr>
      </w:pPr>
    </w:p>
    <w:p w:rsidR="00A2369B" w:rsidRPr="00A2369B" w:rsidRDefault="00A2369B" w:rsidP="00A2369B">
      <w:pPr>
        <w:rPr>
          <w:rFonts w:ascii="Arial" w:hAnsi="Arial" w:cs="Arial"/>
        </w:rPr>
      </w:pPr>
      <w:r w:rsidRPr="00A2369B">
        <w:rPr>
          <w:rFonts w:ascii="Arial" w:hAnsi="Arial" w:cs="Arial"/>
        </w:rPr>
        <w:t>Sprawdzenie odwodnienia należy przeprowadzać na podstawie oceny wizualnej oraz pomiarów wykonanych co najmniej w 10 punktach na 1 km i porównaniu zgodności wykonanych elementów odwodnienia z dokumentacją projektową.</w:t>
      </w:r>
    </w:p>
    <w:p w:rsidR="00A2369B" w:rsidRPr="00A2369B" w:rsidRDefault="00A2369B" w:rsidP="00A2369B">
      <w:pPr>
        <w:rPr>
          <w:rFonts w:ascii="Arial" w:hAnsi="Arial" w:cs="Arial"/>
        </w:rPr>
      </w:pPr>
      <w:r w:rsidRPr="00A2369B">
        <w:rPr>
          <w:rFonts w:ascii="Arial" w:hAnsi="Arial" w:cs="Arial"/>
        </w:rPr>
        <w:t>Pochylenie niwelety dna rowów należy sprawdzać co 100 m. Stwierdzone w czasie kontroli odchylenie spadków od spadków projektowany</w:t>
      </w:r>
      <w:r w:rsidR="00710C8D">
        <w:rPr>
          <w:rFonts w:ascii="Arial" w:hAnsi="Arial" w:cs="Arial"/>
        </w:rPr>
        <w:t xml:space="preserve">ch nie powinno być większe niż </w:t>
      </w:r>
      <w:r w:rsidRPr="00A2369B">
        <w:rPr>
          <w:rFonts w:ascii="Arial" w:hAnsi="Arial" w:cs="Arial"/>
        </w:rPr>
        <w:sym w:font="Symbol" w:char="F0B1"/>
      </w:r>
      <w:r w:rsidRPr="00A2369B">
        <w:rPr>
          <w:rFonts w:ascii="Arial" w:hAnsi="Arial" w:cs="Arial"/>
        </w:rPr>
        <w:t xml:space="preserve"> 0,1%, przy zachowaniu zgodności z projektowanymi kierunkami odprowadzenia wód.</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6.5. Zagęszczenie nawierzchni</w:t>
      </w:r>
    </w:p>
    <w:p w:rsidR="00710C8D" w:rsidRPr="00710C8D" w:rsidRDefault="00710C8D" w:rsidP="00710C8D">
      <w:pPr>
        <w:rPr>
          <w:sz w:val="10"/>
          <w:szCs w:val="10"/>
        </w:rPr>
      </w:pPr>
    </w:p>
    <w:p w:rsidR="00A2369B" w:rsidRPr="00A2369B" w:rsidRDefault="00A2369B" w:rsidP="00A2369B">
      <w:pPr>
        <w:rPr>
          <w:rFonts w:ascii="Arial" w:hAnsi="Arial" w:cs="Arial"/>
        </w:rPr>
      </w:pPr>
      <w:r w:rsidRPr="00A2369B">
        <w:rPr>
          <w:rFonts w:ascii="Arial" w:hAnsi="Arial" w:cs="Arial"/>
        </w:rPr>
        <w:t>Zagęszczenie nawierzchni należy badać co najmniej dwa razy dziennie, z tym, że maksymalna powierzchnia nawierzchni przypadająca na jedno badanie powinna wynosić 600 m</w:t>
      </w:r>
      <w:r w:rsidRPr="00A2369B">
        <w:rPr>
          <w:rFonts w:ascii="Arial" w:hAnsi="Arial" w:cs="Arial"/>
          <w:vertAlign w:val="superscript"/>
        </w:rPr>
        <w:t>2</w:t>
      </w:r>
      <w:r w:rsidRPr="00A2369B">
        <w:rPr>
          <w:rFonts w:ascii="Arial" w:hAnsi="Arial" w:cs="Arial"/>
        </w:rPr>
        <w:t>. Kontrolę zagęszczenia nawierzchni można wykonywać dowolną metodą.</w:t>
      </w:r>
    </w:p>
    <w:p w:rsidR="00A2369B" w:rsidRPr="00710C8D" w:rsidRDefault="00A2369B" w:rsidP="00A2369B">
      <w:pPr>
        <w:pStyle w:val="Nagwek1"/>
        <w:rPr>
          <w:rFonts w:ascii="Arial" w:hAnsi="Arial" w:cs="Arial"/>
          <w:sz w:val="22"/>
          <w:szCs w:val="22"/>
        </w:rPr>
      </w:pPr>
      <w:bookmarkStart w:id="7" w:name="_Toc423749688"/>
      <w:bookmarkStart w:id="8" w:name="_Toc418482010"/>
      <w:r w:rsidRPr="00710C8D">
        <w:rPr>
          <w:rFonts w:ascii="Arial" w:hAnsi="Arial" w:cs="Arial"/>
          <w:sz w:val="22"/>
          <w:szCs w:val="22"/>
        </w:rPr>
        <w:t>7. obmiar robót</w:t>
      </w:r>
      <w:bookmarkEnd w:id="7"/>
      <w:bookmarkEnd w:id="8"/>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7.1. Ogólne zasady obmiaru robót</w:t>
      </w:r>
    </w:p>
    <w:p w:rsidR="00710C8D" w:rsidRPr="00710C8D" w:rsidRDefault="00710C8D" w:rsidP="00710C8D">
      <w:pPr>
        <w:rPr>
          <w:sz w:val="10"/>
          <w:szCs w:val="10"/>
        </w:rPr>
      </w:pPr>
    </w:p>
    <w:p w:rsidR="00A2369B" w:rsidRPr="00A2369B" w:rsidRDefault="00A2369B" w:rsidP="00710C8D">
      <w:pPr>
        <w:pStyle w:val="tekstost"/>
        <w:rPr>
          <w:rFonts w:ascii="Arial" w:hAnsi="Arial" w:cs="Arial"/>
        </w:rPr>
      </w:pPr>
      <w:r w:rsidRPr="00A2369B">
        <w:rPr>
          <w:rFonts w:ascii="Arial" w:hAnsi="Arial" w:cs="Arial"/>
        </w:rPr>
        <w:t>Ogólne</w:t>
      </w:r>
      <w:r w:rsidR="00710C8D">
        <w:rPr>
          <w:rFonts w:ascii="Arial" w:hAnsi="Arial" w:cs="Arial"/>
        </w:rPr>
        <w:t xml:space="preserve"> zasady obmiaru robót podano w S</w:t>
      </w:r>
      <w:r w:rsidRPr="00A2369B">
        <w:rPr>
          <w:rFonts w:ascii="Arial" w:hAnsi="Arial" w:cs="Arial"/>
        </w:rPr>
        <w:t>ST D-00.00.00 „Wymagania ogólne” pkt 7.</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7.2. Jednostka obmiarowa</w:t>
      </w:r>
    </w:p>
    <w:p w:rsidR="00710C8D" w:rsidRPr="00710C8D" w:rsidRDefault="00710C8D" w:rsidP="00710C8D">
      <w:pPr>
        <w:rPr>
          <w:sz w:val="10"/>
          <w:szCs w:val="10"/>
        </w:rPr>
      </w:pPr>
    </w:p>
    <w:p w:rsidR="00A2369B" w:rsidRPr="00A2369B" w:rsidRDefault="00A2369B" w:rsidP="00A2369B">
      <w:pPr>
        <w:pStyle w:val="tekstost"/>
        <w:rPr>
          <w:rFonts w:ascii="Arial" w:hAnsi="Arial" w:cs="Arial"/>
        </w:rPr>
      </w:pPr>
      <w:r w:rsidRPr="00A2369B">
        <w:rPr>
          <w:rFonts w:ascii="Arial" w:hAnsi="Arial" w:cs="Arial"/>
        </w:rPr>
        <w:t>Jednostką obmiarową jest m</w:t>
      </w:r>
      <w:r w:rsidRPr="00A2369B">
        <w:rPr>
          <w:rFonts w:ascii="Arial" w:hAnsi="Arial" w:cs="Arial"/>
          <w:vertAlign w:val="superscript"/>
        </w:rPr>
        <w:t>2</w:t>
      </w:r>
      <w:r w:rsidRPr="00A2369B">
        <w:rPr>
          <w:rFonts w:ascii="Arial" w:hAnsi="Arial" w:cs="Arial"/>
        </w:rPr>
        <w:t xml:space="preserve"> (metr kwadratowy) wykonanej nawierzchni żwirowej.</w:t>
      </w:r>
    </w:p>
    <w:p w:rsidR="00A2369B" w:rsidRPr="00710C8D" w:rsidRDefault="00A2369B" w:rsidP="00A2369B">
      <w:pPr>
        <w:pStyle w:val="Nagwek1"/>
        <w:rPr>
          <w:rFonts w:ascii="Arial" w:hAnsi="Arial" w:cs="Arial"/>
          <w:sz w:val="22"/>
          <w:szCs w:val="22"/>
        </w:rPr>
      </w:pPr>
      <w:bookmarkStart w:id="9" w:name="_Toc423749689"/>
      <w:bookmarkStart w:id="10" w:name="_Toc418482011"/>
      <w:r w:rsidRPr="00710C8D">
        <w:rPr>
          <w:rFonts w:ascii="Arial" w:hAnsi="Arial" w:cs="Arial"/>
          <w:sz w:val="22"/>
          <w:szCs w:val="22"/>
        </w:rPr>
        <w:t>8. ODBIÓR ROBÓT</w:t>
      </w:r>
      <w:bookmarkEnd w:id="9"/>
      <w:bookmarkEnd w:id="10"/>
    </w:p>
    <w:p w:rsidR="00A2369B" w:rsidRPr="00A2369B" w:rsidRDefault="00A2369B" w:rsidP="00A2369B">
      <w:pPr>
        <w:pStyle w:val="tekstost"/>
        <w:rPr>
          <w:rFonts w:ascii="Arial" w:hAnsi="Arial" w:cs="Arial"/>
        </w:rPr>
      </w:pPr>
      <w:r w:rsidRPr="00A2369B">
        <w:rPr>
          <w:rFonts w:ascii="Arial" w:hAnsi="Arial" w:cs="Arial"/>
        </w:rPr>
        <w:t>Ogólne</w:t>
      </w:r>
      <w:r w:rsidR="00710C8D">
        <w:rPr>
          <w:rFonts w:ascii="Arial" w:hAnsi="Arial" w:cs="Arial"/>
        </w:rPr>
        <w:t xml:space="preserve"> zasady odbioru robót podano w S</w:t>
      </w:r>
      <w:r w:rsidRPr="00A2369B">
        <w:rPr>
          <w:rFonts w:ascii="Arial" w:hAnsi="Arial" w:cs="Arial"/>
        </w:rPr>
        <w:t>ST D-00.00.00 „Wymagania ogólne” pkt 8.</w:t>
      </w:r>
    </w:p>
    <w:p w:rsidR="00A2369B" w:rsidRPr="00A2369B" w:rsidRDefault="00A2369B" w:rsidP="00A2369B">
      <w:pPr>
        <w:rPr>
          <w:rFonts w:ascii="Arial" w:hAnsi="Arial" w:cs="Arial"/>
        </w:rPr>
      </w:pPr>
      <w:r w:rsidRPr="00A2369B">
        <w:rPr>
          <w:rFonts w:ascii="Arial" w:hAnsi="Arial" w:cs="Arial"/>
        </w:rPr>
        <w:t>Roboty uznaje się za zgodne z dokumentacją projektową, SST i wymaganiami Inżyniera, jeżeli wszystkie pomiary i badania z zachowaniem tolerancji wg pkt 6 dały wyniki pozytywne.</w:t>
      </w:r>
    </w:p>
    <w:p w:rsidR="00A2369B" w:rsidRPr="00710C8D" w:rsidRDefault="00A2369B" w:rsidP="00A2369B">
      <w:pPr>
        <w:pStyle w:val="Nagwek1"/>
        <w:rPr>
          <w:rFonts w:ascii="Arial" w:hAnsi="Arial" w:cs="Arial"/>
          <w:sz w:val="22"/>
          <w:szCs w:val="22"/>
        </w:rPr>
      </w:pPr>
      <w:bookmarkStart w:id="11" w:name="_Toc423749690"/>
      <w:bookmarkStart w:id="12" w:name="_Toc418482012"/>
      <w:r w:rsidRPr="00710C8D">
        <w:rPr>
          <w:rFonts w:ascii="Arial" w:hAnsi="Arial" w:cs="Arial"/>
          <w:sz w:val="22"/>
          <w:szCs w:val="22"/>
        </w:rPr>
        <w:t>9. podstawa płatności</w:t>
      </w:r>
      <w:bookmarkEnd w:id="11"/>
      <w:bookmarkEnd w:id="12"/>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9.1. Ogólne ustalenia dotyczące podstawy płatności</w:t>
      </w:r>
    </w:p>
    <w:p w:rsidR="00710C8D" w:rsidRPr="00710C8D" w:rsidRDefault="00710C8D" w:rsidP="00710C8D"/>
    <w:p w:rsidR="00A2369B" w:rsidRPr="00A2369B" w:rsidRDefault="00A2369B" w:rsidP="00A2369B">
      <w:pPr>
        <w:pStyle w:val="tekstost"/>
        <w:rPr>
          <w:rFonts w:ascii="Arial" w:hAnsi="Arial" w:cs="Arial"/>
        </w:rPr>
      </w:pPr>
      <w:r w:rsidRPr="00A2369B">
        <w:rPr>
          <w:rFonts w:ascii="Arial" w:hAnsi="Arial" w:cs="Arial"/>
        </w:rPr>
        <w:t>Ogólne ustalenia dotyczące podstawy płatno</w:t>
      </w:r>
      <w:r w:rsidR="00710C8D">
        <w:rPr>
          <w:rFonts w:ascii="Arial" w:hAnsi="Arial" w:cs="Arial"/>
        </w:rPr>
        <w:t>ści podano w S</w:t>
      </w:r>
      <w:r w:rsidRPr="00A2369B">
        <w:rPr>
          <w:rFonts w:ascii="Arial" w:hAnsi="Arial" w:cs="Arial"/>
        </w:rPr>
        <w:t>ST D-00.00.00 „Wymagania ogólne” pkt 9.</w:t>
      </w:r>
    </w:p>
    <w:p w:rsidR="00A2369B" w:rsidRDefault="00A2369B" w:rsidP="00A2369B">
      <w:pPr>
        <w:pStyle w:val="Nagwek2"/>
        <w:rPr>
          <w:rFonts w:ascii="Arial" w:hAnsi="Arial" w:cs="Arial"/>
          <w:color w:val="auto"/>
          <w:sz w:val="22"/>
          <w:szCs w:val="22"/>
        </w:rPr>
      </w:pPr>
      <w:r w:rsidRPr="00710C8D">
        <w:rPr>
          <w:rFonts w:ascii="Arial" w:hAnsi="Arial" w:cs="Arial"/>
          <w:color w:val="auto"/>
          <w:sz w:val="22"/>
          <w:szCs w:val="22"/>
        </w:rPr>
        <w:t>9.2. Cena jednostki obmiarowej</w:t>
      </w:r>
    </w:p>
    <w:p w:rsidR="008C2EC1" w:rsidRPr="008C2EC1" w:rsidRDefault="008C2EC1" w:rsidP="008C2EC1"/>
    <w:p w:rsidR="00A2369B" w:rsidRPr="00A2369B" w:rsidRDefault="00A2369B" w:rsidP="00A2369B">
      <w:pPr>
        <w:rPr>
          <w:rFonts w:ascii="Arial" w:hAnsi="Arial" w:cs="Arial"/>
        </w:rPr>
      </w:pPr>
      <w:r w:rsidRPr="00A2369B">
        <w:rPr>
          <w:rFonts w:ascii="Arial" w:hAnsi="Arial" w:cs="Arial"/>
        </w:rPr>
        <w:lastRenderedPageBreak/>
        <w:t>Cena wykonania 1 m</w:t>
      </w:r>
      <w:r w:rsidRPr="00A2369B">
        <w:rPr>
          <w:rFonts w:ascii="Arial" w:hAnsi="Arial" w:cs="Arial"/>
          <w:vertAlign w:val="superscript"/>
        </w:rPr>
        <w:t>2</w:t>
      </w:r>
      <w:r w:rsidRPr="00A2369B">
        <w:rPr>
          <w:rFonts w:ascii="Arial" w:hAnsi="Arial" w:cs="Arial"/>
        </w:rPr>
        <w:t xml:space="preserve"> nawierzchni żwirowej obejmuje:</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prace pomiarowe i roboty przygotowawcze,</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oznakowanie robót,</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spulchnienie, wyprofilowanie i zagęszczenie ze skropieniem wodą podłoża gruntowego lub warstwy odsączającej,</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dostarczenie materiałów,</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dostarczenie i wbudowanie mieszanki  żwirowej,</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wyrównanie do wymaganego profilu,</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zagęszczenie poszczególnych warstw,</w:t>
      </w:r>
    </w:p>
    <w:p w:rsidR="00A2369B" w:rsidRPr="00A2369B" w:rsidRDefault="00A2369B" w:rsidP="00A2369B">
      <w:pPr>
        <w:numPr>
          <w:ilvl w:val="0"/>
          <w:numId w:val="1"/>
        </w:numPr>
        <w:ind w:left="284" w:hanging="284"/>
        <w:rPr>
          <w:rFonts w:ascii="Arial" w:hAnsi="Arial" w:cs="Arial"/>
        </w:rPr>
      </w:pPr>
      <w:r w:rsidRPr="00A2369B">
        <w:rPr>
          <w:rFonts w:ascii="Arial" w:hAnsi="Arial" w:cs="Arial"/>
        </w:rPr>
        <w:t>przeprowadzenie pomiarów i badań laboratoryjnych, wymaganych w specyfikacji technicznej.</w:t>
      </w:r>
      <w:r w:rsidRPr="00A2369B">
        <w:rPr>
          <w:rFonts w:ascii="Arial" w:hAnsi="Arial" w:cs="Arial"/>
        </w:rPr>
        <w:tab/>
      </w:r>
    </w:p>
    <w:p w:rsidR="00A2369B" w:rsidRPr="008C2EC1" w:rsidRDefault="00A2369B" w:rsidP="00A2369B">
      <w:pPr>
        <w:pStyle w:val="Nagwek1"/>
        <w:rPr>
          <w:rFonts w:ascii="Arial" w:hAnsi="Arial" w:cs="Arial"/>
          <w:sz w:val="22"/>
          <w:szCs w:val="22"/>
        </w:rPr>
      </w:pPr>
      <w:bookmarkStart w:id="13" w:name="_Toc423749691"/>
      <w:r w:rsidRPr="008C2EC1">
        <w:rPr>
          <w:rFonts w:ascii="Arial" w:hAnsi="Arial" w:cs="Arial"/>
          <w:sz w:val="22"/>
          <w:szCs w:val="22"/>
        </w:rPr>
        <w:t>10. przepisy związane</w:t>
      </w:r>
      <w:bookmarkEnd w:id="13"/>
    </w:p>
    <w:p w:rsidR="00A2369B" w:rsidRPr="008C2EC1" w:rsidRDefault="00A2369B" w:rsidP="00A2369B">
      <w:pPr>
        <w:pStyle w:val="Nagwek2"/>
        <w:rPr>
          <w:rFonts w:ascii="Arial" w:hAnsi="Arial" w:cs="Arial"/>
          <w:color w:val="auto"/>
          <w:sz w:val="20"/>
          <w:szCs w:val="20"/>
        </w:rPr>
      </w:pPr>
      <w:r w:rsidRPr="008C2EC1">
        <w:rPr>
          <w:rFonts w:ascii="Arial" w:hAnsi="Arial" w:cs="Arial"/>
          <w:color w:val="auto"/>
          <w:sz w:val="20"/>
          <w:szCs w:val="20"/>
        </w:rPr>
        <w:t>Normy</w:t>
      </w:r>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1.</w:t>
            </w:r>
          </w:p>
        </w:tc>
        <w:tc>
          <w:tcPr>
            <w:tcW w:w="1701" w:type="dxa"/>
            <w:hideMark/>
          </w:tcPr>
          <w:p w:rsidR="00A2369B" w:rsidRPr="00A2369B" w:rsidRDefault="00A2369B">
            <w:pPr>
              <w:rPr>
                <w:rFonts w:ascii="Arial" w:hAnsi="Arial" w:cs="Arial"/>
              </w:rPr>
            </w:pPr>
            <w:r w:rsidRPr="00A2369B">
              <w:rPr>
                <w:rFonts w:ascii="Arial" w:hAnsi="Arial" w:cs="Arial"/>
              </w:rPr>
              <w:t>PN-B-04481</w:t>
            </w:r>
          </w:p>
        </w:tc>
        <w:tc>
          <w:tcPr>
            <w:tcW w:w="5313" w:type="dxa"/>
            <w:hideMark/>
          </w:tcPr>
          <w:p w:rsidR="00A2369B" w:rsidRPr="00A2369B" w:rsidRDefault="00A2369B">
            <w:pPr>
              <w:rPr>
                <w:rFonts w:ascii="Arial" w:hAnsi="Arial" w:cs="Arial"/>
              </w:rPr>
            </w:pPr>
            <w:r w:rsidRPr="00A2369B">
              <w:rPr>
                <w:rFonts w:ascii="Arial" w:hAnsi="Arial" w:cs="Arial"/>
              </w:rPr>
              <w:t>Grunty budowlane. Badanie próbek gruntu</w:t>
            </w:r>
          </w:p>
        </w:tc>
      </w:tr>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2.</w:t>
            </w:r>
          </w:p>
        </w:tc>
        <w:tc>
          <w:tcPr>
            <w:tcW w:w="1701" w:type="dxa"/>
            <w:hideMark/>
          </w:tcPr>
          <w:p w:rsidR="00A2369B" w:rsidRPr="00A2369B" w:rsidRDefault="00A2369B">
            <w:pPr>
              <w:rPr>
                <w:rFonts w:ascii="Arial" w:hAnsi="Arial" w:cs="Arial"/>
              </w:rPr>
            </w:pPr>
            <w:r w:rsidRPr="00A2369B">
              <w:rPr>
                <w:rFonts w:ascii="Arial" w:hAnsi="Arial" w:cs="Arial"/>
              </w:rPr>
              <w:t>PN-B-11111</w:t>
            </w:r>
          </w:p>
        </w:tc>
        <w:tc>
          <w:tcPr>
            <w:tcW w:w="5313" w:type="dxa"/>
            <w:hideMark/>
          </w:tcPr>
          <w:p w:rsidR="00A2369B" w:rsidRPr="00A2369B" w:rsidRDefault="00A2369B">
            <w:pPr>
              <w:rPr>
                <w:rFonts w:ascii="Arial" w:hAnsi="Arial" w:cs="Arial"/>
              </w:rPr>
            </w:pPr>
            <w:r w:rsidRPr="00A2369B">
              <w:rPr>
                <w:rFonts w:ascii="Arial" w:hAnsi="Arial" w:cs="Arial"/>
              </w:rPr>
              <w:t>Kruszywa mineralne. Kruszywa naturalne do nawierzchni drogowych. Żwir i mieszanka</w:t>
            </w:r>
          </w:p>
        </w:tc>
      </w:tr>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3.</w:t>
            </w:r>
          </w:p>
        </w:tc>
        <w:tc>
          <w:tcPr>
            <w:tcW w:w="1701" w:type="dxa"/>
            <w:hideMark/>
          </w:tcPr>
          <w:p w:rsidR="00A2369B" w:rsidRPr="00A2369B" w:rsidRDefault="00A2369B">
            <w:pPr>
              <w:rPr>
                <w:rFonts w:ascii="Arial" w:hAnsi="Arial" w:cs="Arial"/>
              </w:rPr>
            </w:pPr>
            <w:r w:rsidRPr="00A2369B">
              <w:rPr>
                <w:rFonts w:ascii="Arial" w:hAnsi="Arial" w:cs="Arial"/>
              </w:rPr>
              <w:t>PN-B-11113</w:t>
            </w:r>
          </w:p>
        </w:tc>
        <w:tc>
          <w:tcPr>
            <w:tcW w:w="5313" w:type="dxa"/>
            <w:hideMark/>
          </w:tcPr>
          <w:p w:rsidR="00A2369B" w:rsidRPr="00A2369B" w:rsidRDefault="00A2369B">
            <w:pPr>
              <w:rPr>
                <w:rFonts w:ascii="Arial" w:hAnsi="Arial" w:cs="Arial"/>
              </w:rPr>
            </w:pPr>
            <w:r w:rsidRPr="00A2369B">
              <w:rPr>
                <w:rFonts w:ascii="Arial" w:hAnsi="Arial" w:cs="Arial"/>
              </w:rPr>
              <w:t>Kruszywa mineralne. Kruszywa naturalne do nawierzchni drogowych. Piasek</w:t>
            </w:r>
          </w:p>
        </w:tc>
      </w:tr>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4.</w:t>
            </w:r>
          </w:p>
        </w:tc>
        <w:tc>
          <w:tcPr>
            <w:tcW w:w="1701" w:type="dxa"/>
            <w:hideMark/>
          </w:tcPr>
          <w:p w:rsidR="00A2369B" w:rsidRPr="00A2369B" w:rsidRDefault="00A2369B">
            <w:pPr>
              <w:rPr>
                <w:rFonts w:ascii="Arial" w:hAnsi="Arial" w:cs="Arial"/>
              </w:rPr>
            </w:pPr>
            <w:r w:rsidRPr="00A2369B">
              <w:rPr>
                <w:rFonts w:ascii="Arial" w:hAnsi="Arial" w:cs="Arial"/>
              </w:rPr>
              <w:t>BN-64/8931-01</w:t>
            </w:r>
          </w:p>
        </w:tc>
        <w:tc>
          <w:tcPr>
            <w:tcW w:w="5313" w:type="dxa"/>
            <w:hideMark/>
          </w:tcPr>
          <w:p w:rsidR="00A2369B" w:rsidRPr="00A2369B" w:rsidRDefault="00A2369B">
            <w:pPr>
              <w:rPr>
                <w:rFonts w:ascii="Arial" w:hAnsi="Arial" w:cs="Arial"/>
              </w:rPr>
            </w:pPr>
            <w:r w:rsidRPr="00A2369B">
              <w:rPr>
                <w:rFonts w:ascii="Arial" w:hAnsi="Arial" w:cs="Arial"/>
              </w:rPr>
              <w:t>Drogi samochodowe. Oznaczanie wskaźnika piaskowego</w:t>
            </w:r>
          </w:p>
        </w:tc>
      </w:tr>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5.</w:t>
            </w:r>
          </w:p>
        </w:tc>
        <w:tc>
          <w:tcPr>
            <w:tcW w:w="1701" w:type="dxa"/>
            <w:hideMark/>
          </w:tcPr>
          <w:p w:rsidR="00A2369B" w:rsidRPr="00A2369B" w:rsidRDefault="00A2369B">
            <w:pPr>
              <w:rPr>
                <w:rFonts w:ascii="Arial" w:hAnsi="Arial" w:cs="Arial"/>
              </w:rPr>
            </w:pPr>
            <w:r w:rsidRPr="00A2369B">
              <w:rPr>
                <w:rFonts w:ascii="Arial" w:hAnsi="Arial" w:cs="Arial"/>
              </w:rPr>
              <w:t>BN-68/8931-04</w:t>
            </w:r>
          </w:p>
        </w:tc>
        <w:tc>
          <w:tcPr>
            <w:tcW w:w="5313" w:type="dxa"/>
            <w:hideMark/>
          </w:tcPr>
          <w:p w:rsidR="00A2369B" w:rsidRPr="00A2369B" w:rsidRDefault="00A2369B">
            <w:pPr>
              <w:rPr>
                <w:rFonts w:ascii="Arial" w:hAnsi="Arial" w:cs="Arial"/>
              </w:rPr>
            </w:pPr>
            <w:r w:rsidRPr="00A2369B">
              <w:rPr>
                <w:rFonts w:ascii="Arial" w:hAnsi="Arial" w:cs="Arial"/>
              </w:rPr>
              <w:t xml:space="preserve">Drogi samochodowe. Pomiar równości nawierzchni </w:t>
            </w:r>
            <w:proofErr w:type="spellStart"/>
            <w:r w:rsidRPr="00A2369B">
              <w:rPr>
                <w:rFonts w:ascii="Arial" w:hAnsi="Arial" w:cs="Arial"/>
              </w:rPr>
              <w:t>planografem</w:t>
            </w:r>
            <w:proofErr w:type="spellEnd"/>
            <w:r w:rsidRPr="00A2369B">
              <w:rPr>
                <w:rFonts w:ascii="Arial" w:hAnsi="Arial" w:cs="Arial"/>
              </w:rPr>
              <w:t xml:space="preserve"> i łatą</w:t>
            </w:r>
          </w:p>
        </w:tc>
      </w:tr>
      <w:tr w:rsidR="00A2369B" w:rsidRPr="00A2369B" w:rsidTr="00A2369B">
        <w:tc>
          <w:tcPr>
            <w:tcW w:w="496" w:type="dxa"/>
            <w:hideMark/>
          </w:tcPr>
          <w:p w:rsidR="00A2369B" w:rsidRPr="00A2369B" w:rsidRDefault="00A2369B">
            <w:pPr>
              <w:jc w:val="center"/>
              <w:rPr>
                <w:rFonts w:ascii="Arial" w:hAnsi="Arial" w:cs="Arial"/>
              </w:rPr>
            </w:pPr>
            <w:r w:rsidRPr="00A2369B">
              <w:rPr>
                <w:rFonts w:ascii="Arial" w:hAnsi="Arial" w:cs="Arial"/>
              </w:rPr>
              <w:t>6.</w:t>
            </w:r>
          </w:p>
        </w:tc>
        <w:tc>
          <w:tcPr>
            <w:tcW w:w="1701" w:type="dxa"/>
            <w:hideMark/>
          </w:tcPr>
          <w:p w:rsidR="00A2369B" w:rsidRPr="00A2369B" w:rsidRDefault="00A2369B">
            <w:pPr>
              <w:rPr>
                <w:rFonts w:ascii="Arial" w:hAnsi="Arial" w:cs="Arial"/>
              </w:rPr>
            </w:pPr>
            <w:r w:rsidRPr="00A2369B">
              <w:rPr>
                <w:rFonts w:ascii="Arial" w:hAnsi="Arial" w:cs="Arial"/>
              </w:rPr>
              <w:t>BN-77/8931-12</w:t>
            </w:r>
          </w:p>
        </w:tc>
        <w:tc>
          <w:tcPr>
            <w:tcW w:w="5313" w:type="dxa"/>
            <w:hideMark/>
          </w:tcPr>
          <w:p w:rsidR="00A2369B" w:rsidRPr="00A2369B" w:rsidRDefault="00A2369B">
            <w:pPr>
              <w:rPr>
                <w:rFonts w:ascii="Arial" w:hAnsi="Arial" w:cs="Arial"/>
              </w:rPr>
            </w:pPr>
            <w:r w:rsidRPr="00A2369B">
              <w:rPr>
                <w:rFonts w:ascii="Arial" w:hAnsi="Arial" w:cs="Arial"/>
              </w:rPr>
              <w:t>Oznaczanie wskaźnika zagęszczenia gruntu.</w:t>
            </w:r>
          </w:p>
        </w:tc>
      </w:tr>
    </w:tbl>
    <w:p w:rsidR="00A2369B" w:rsidRPr="00A2369B" w:rsidRDefault="00A2369B" w:rsidP="00A2369B">
      <w:pPr>
        <w:rPr>
          <w:rFonts w:ascii="Arial" w:hAnsi="Arial" w:cs="Arial"/>
        </w:rPr>
      </w:pPr>
    </w:p>
    <w:p w:rsidR="00A2369B" w:rsidRDefault="00A2369B" w:rsidP="00A2369B"/>
    <w:p w:rsidR="00A2369B" w:rsidRDefault="00A2369B" w:rsidP="00A2369B">
      <w:pPr>
        <w:spacing w:before="120"/>
      </w:pPr>
    </w:p>
    <w:p w:rsidR="00A2369B" w:rsidRDefault="00A2369B"/>
    <w:sectPr w:rsidR="00A2369B" w:rsidSect="008C2E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F8" w:rsidRDefault="000E7AF8" w:rsidP="008C2EC1">
      <w:r>
        <w:separator/>
      </w:r>
    </w:p>
  </w:endnote>
  <w:endnote w:type="continuationSeparator" w:id="0">
    <w:p w:rsidR="000E7AF8" w:rsidRDefault="000E7AF8" w:rsidP="008C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C1" w:rsidRDefault="008C2E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51958"/>
      <w:docPartObj>
        <w:docPartGallery w:val="Page Numbers (Bottom of Page)"/>
        <w:docPartUnique/>
      </w:docPartObj>
    </w:sdtPr>
    <w:sdtEndPr/>
    <w:sdtContent>
      <w:p w:rsidR="008C2EC1" w:rsidRDefault="008C2EC1">
        <w:pPr>
          <w:pStyle w:val="Stopka"/>
          <w:jc w:val="right"/>
        </w:pPr>
        <w:r>
          <w:fldChar w:fldCharType="begin"/>
        </w:r>
        <w:r>
          <w:instrText>PAGE   \* MERGEFORMAT</w:instrText>
        </w:r>
        <w:r>
          <w:fldChar w:fldCharType="separate"/>
        </w:r>
        <w:r w:rsidR="00AB2CDF">
          <w:rPr>
            <w:noProof/>
          </w:rPr>
          <w:t>122</w:t>
        </w:r>
        <w:r>
          <w:fldChar w:fldCharType="end"/>
        </w:r>
      </w:p>
    </w:sdtContent>
  </w:sdt>
  <w:p w:rsidR="008C2EC1" w:rsidRDefault="008C2E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C1" w:rsidRDefault="008C2E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F8" w:rsidRDefault="000E7AF8" w:rsidP="008C2EC1">
      <w:r>
        <w:separator/>
      </w:r>
    </w:p>
  </w:footnote>
  <w:footnote w:type="continuationSeparator" w:id="0">
    <w:p w:rsidR="000E7AF8" w:rsidRDefault="000E7AF8" w:rsidP="008C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C1" w:rsidRDefault="008C2E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C1" w:rsidRDefault="008C2E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C1" w:rsidRDefault="008C2E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92B160"/>
    <w:lvl w:ilvl="0">
      <w:numFmt w:val="bullet"/>
      <w:lvlText w:val="*"/>
      <w:lvlJc w:val="left"/>
      <w:pPr>
        <w:ind w:left="0" w:firstLine="0"/>
      </w:pPr>
    </w:lvl>
  </w:abstractNum>
  <w:abstractNum w:abstractNumId="1">
    <w:nsid w:val="13A60046"/>
    <w:multiLevelType w:val="singleLevel"/>
    <w:tmpl w:val="1CFAE61A"/>
    <w:lvl w:ilvl="0">
      <w:start w:val="1"/>
      <w:numFmt w:val="lowerLetter"/>
      <w:lvlText w:val="%1)"/>
      <w:legacy w:legacy="1" w:legacySpace="0" w:legacyIndent="283"/>
      <w:lvlJc w:val="left"/>
      <w:pPr>
        <w:ind w:left="283" w:hanging="283"/>
      </w:pPr>
    </w:lvl>
  </w:abstractNum>
  <w:abstractNum w:abstractNumId="2">
    <w:nsid w:val="2C0A4523"/>
    <w:multiLevelType w:val="singleLevel"/>
    <w:tmpl w:val="1CFAE61A"/>
    <w:lvl w:ilvl="0">
      <w:start w:val="1"/>
      <w:numFmt w:val="lowerLetter"/>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95"/>
    <w:rsid w:val="000B5D17"/>
    <w:rsid w:val="000E7AF8"/>
    <w:rsid w:val="000F6895"/>
    <w:rsid w:val="00710C8D"/>
    <w:rsid w:val="008C2EC1"/>
    <w:rsid w:val="008D3841"/>
    <w:rsid w:val="00A2369B"/>
    <w:rsid w:val="00AB2CDF"/>
    <w:rsid w:val="00D84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A2369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369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semiHidden/>
    <w:unhideWhenUsed/>
    <w:qFormat/>
    <w:rsid w:val="00A2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A2369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369B"/>
    <w:rPr>
      <w:rFonts w:ascii="Times New Roman" w:eastAsia="Times New Roman" w:hAnsi="Times New Roman" w:cs="Times New Roman"/>
      <w:b/>
      <w:caps/>
      <w:kern w:val="28"/>
      <w:sz w:val="20"/>
      <w:szCs w:val="20"/>
      <w:lang w:eastAsia="pl-PL"/>
    </w:rPr>
  </w:style>
  <w:style w:type="character" w:customStyle="1" w:styleId="Nagwek4Znak">
    <w:name w:val="Nagłówek 4 Znak"/>
    <w:basedOn w:val="Domylnaczcionkaakapitu"/>
    <w:link w:val="Nagwek4"/>
    <w:semiHidden/>
    <w:rsid w:val="00A2369B"/>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semiHidden/>
    <w:unhideWhenUsed/>
    <w:rsid w:val="00A2369B"/>
    <w:pPr>
      <w:overflowPunct/>
      <w:autoSpaceDE/>
      <w:autoSpaceDN/>
      <w:adjustRightInd/>
      <w:spacing w:after="120"/>
      <w:ind w:left="283"/>
      <w:jc w:val="left"/>
    </w:pPr>
    <w:rPr>
      <w:sz w:val="24"/>
      <w:szCs w:val="24"/>
    </w:rPr>
  </w:style>
  <w:style w:type="character" w:customStyle="1" w:styleId="TekstpodstawowywcityZnak">
    <w:name w:val="Tekst podstawowy wcięty Znak"/>
    <w:basedOn w:val="Domylnaczcionkaakapitu"/>
    <w:link w:val="Tekstpodstawowywcity"/>
    <w:semiHidden/>
    <w:rsid w:val="00A2369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369B"/>
    <w:rPr>
      <w:rFonts w:asciiTheme="majorHAnsi" w:eastAsiaTheme="majorEastAsia" w:hAnsiTheme="majorHAnsi" w:cstheme="majorBidi"/>
      <w:b/>
      <w:bCs/>
      <w:color w:val="4F81BD" w:themeColor="accent1"/>
      <w:sz w:val="26"/>
      <w:szCs w:val="26"/>
      <w:lang w:eastAsia="pl-PL"/>
    </w:rPr>
  </w:style>
  <w:style w:type="paragraph" w:customStyle="1" w:styleId="tekstost">
    <w:name w:val="tekst ost"/>
    <w:basedOn w:val="Normalny"/>
    <w:rsid w:val="00A2369B"/>
  </w:style>
  <w:style w:type="paragraph" w:customStyle="1" w:styleId="Standardowytekst">
    <w:name w:val="Standardowy.tekst"/>
    <w:rsid w:val="00A2369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2369B"/>
    <w:rPr>
      <w:rFonts w:ascii="Tahoma" w:hAnsi="Tahoma" w:cs="Tahoma"/>
      <w:sz w:val="16"/>
      <w:szCs w:val="16"/>
    </w:rPr>
  </w:style>
  <w:style w:type="character" w:customStyle="1" w:styleId="TekstdymkaZnak">
    <w:name w:val="Tekst dymka Znak"/>
    <w:basedOn w:val="Domylnaczcionkaakapitu"/>
    <w:link w:val="Tekstdymka"/>
    <w:uiPriority w:val="99"/>
    <w:semiHidden/>
    <w:rsid w:val="00A2369B"/>
    <w:rPr>
      <w:rFonts w:ascii="Tahoma" w:eastAsia="Times New Roman" w:hAnsi="Tahoma" w:cs="Tahoma"/>
      <w:sz w:val="16"/>
      <w:szCs w:val="16"/>
      <w:lang w:eastAsia="pl-PL"/>
    </w:rPr>
  </w:style>
  <w:style w:type="paragraph" w:styleId="Nagwek">
    <w:name w:val="header"/>
    <w:basedOn w:val="Normalny"/>
    <w:link w:val="NagwekZnak"/>
    <w:uiPriority w:val="99"/>
    <w:unhideWhenUsed/>
    <w:rsid w:val="008C2EC1"/>
    <w:pPr>
      <w:tabs>
        <w:tab w:val="center" w:pos="4536"/>
        <w:tab w:val="right" w:pos="9072"/>
      </w:tabs>
    </w:pPr>
  </w:style>
  <w:style w:type="character" w:customStyle="1" w:styleId="NagwekZnak">
    <w:name w:val="Nagłówek Znak"/>
    <w:basedOn w:val="Domylnaczcionkaakapitu"/>
    <w:link w:val="Nagwek"/>
    <w:uiPriority w:val="99"/>
    <w:rsid w:val="008C2E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C2EC1"/>
    <w:pPr>
      <w:tabs>
        <w:tab w:val="center" w:pos="4536"/>
        <w:tab w:val="right" w:pos="9072"/>
      </w:tabs>
    </w:pPr>
  </w:style>
  <w:style w:type="character" w:customStyle="1" w:styleId="StopkaZnak">
    <w:name w:val="Stopka Znak"/>
    <w:basedOn w:val="Domylnaczcionkaakapitu"/>
    <w:link w:val="Stopka"/>
    <w:uiPriority w:val="99"/>
    <w:rsid w:val="008C2EC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A2369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369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semiHidden/>
    <w:unhideWhenUsed/>
    <w:qFormat/>
    <w:rsid w:val="00A2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A2369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369B"/>
    <w:rPr>
      <w:rFonts w:ascii="Times New Roman" w:eastAsia="Times New Roman" w:hAnsi="Times New Roman" w:cs="Times New Roman"/>
      <w:b/>
      <w:caps/>
      <w:kern w:val="28"/>
      <w:sz w:val="20"/>
      <w:szCs w:val="20"/>
      <w:lang w:eastAsia="pl-PL"/>
    </w:rPr>
  </w:style>
  <w:style w:type="character" w:customStyle="1" w:styleId="Nagwek4Znak">
    <w:name w:val="Nagłówek 4 Znak"/>
    <w:basedOn w:val="Domylnaczcionkaakapitu"/>
    <w:link w:val="Nagwek4"/>
    <w:semiHidden/>
    <w:rsid w:val="00A2369B"/>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semiHidden/>
    <w:unhideWhenUsed/>
    <w:rsid w:val="00A2369B"/>
    <w:pPr>
      <w:overflowPunct/>
      <w:autoSpaceDE/>
      <w:autoSpaceDN/>
      <w:adjustRightInd/>
      <w:spacing w:after="120"/>
      <w:ind w:left="283"/>
      <w:jc w:val="left"/>
    </w:pPr>
    <w:rPr>
      <w:sz w:val="24"/>
      <w:szCs w:val="24"/>
    </w:rPr>
  </w:style>
  <w:style w:type="character" w:customStyle="1" w:styleId="TekstpodstawowywcityZnak">
    <w:name w:val="Tekst podstawowy wcięty Znak"/>
    <w:basedOn w:val="Domylnaczcionkaakapitu"/>
    <w:link w:val="Tekstpodstawowywcity"/>
    <w:semiHidden/>
    <w:rsid w:val="00A2369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369B"/>
    <w:rPr>
      <w:rFonts w:asciiTheme="majorHAnsi" w:eastAsiaTheme="majorEastAsia" w:hAnsiTheme="majorHAnsi" w:cstheme="majorBidi"/>
      <w:b/>
      <w:bCs/>
      <w:color w:val="4F81BD" w:themeColor="accent1"/>
      <w:sz w:val="26"/>
      <w:szCs w:val="26"/>
      <w:lang w:eastAsia="pl-PL"/>
    </w:rPr>
  </w:style>
  <w:style w:type="paragraph" w:customStyle="1" w:styleId="tekstost">
    <w:name w:val="tekst ost"/>
    <w:basedOn w:val="Normalny"/>
    <w:rsid w:val="00A2369B"/>
  </w:style>
  <w:style w:type="paragraph" w:customStyle="1" w:styleId="Standardowytekst">
    <w:name w:val="Standardowy.tekst"/>
    <w:rsid w:val="00A2369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2369B"/>
    <w:rPr>
      <w:rFonts w:ascii="Tahoma" w:hAnsi="Tahoma" w:cs="Tahoma"/>
      <w:sz w:val="16"/>
      <w:szCs w:val="16"/>
    </w:rPr>
  </w:style>
  <w:style w:type="character" w:customStyle="1" w:styleId="TekstdymkaZnak">
    <w:name w:val="Tekst dymka Znak"/>
    <w:basedOn w:val="Domylnaczcionkaakapitu"/>
    <w:link w:val="Tekstdymka"/>
    <w:uiPriority w:val="99"/>
    <w:semiHidden/>
    <w:rsid w:val="00A2369B"/>
    <w:rPr>
      <w:rFonts w:ascii="Tahoma" w:eastAsia="Times New Roman" w:hAnsi="Tahoma" w:cs="Tahoma"/>
      <w:sz w:val="16"/>
      <w:szCs w:val="16"/>
      <w:lang w:eastAsia="pl-PL"/>
    </w:rPr>
  </w:style>
  <w:style w:type="paragraph" w:styleId="Nagwek">
    <w:name w:val="header"/>
    <w:basedOn w:val="Normalny"/>
    <w:link w:val="NagwekZnak"/>
    <w:uiPriority w:val="99"/>
    <w:unhideWhenUsed/>
    <w:rsid w:val="008C2EC1"/>
    <w:pPr>
      <w:tabs>
        <w:tab w:val="center" w:pos="4536"/>
        <w:tab w:val="right" w:pos="9072"/>
      </w:tabs>
    </w:pPr>
  </w:style>
  <w:style w:type="character" w:customStyle="1" w:styleId="NagwekZnak">
    <w:name w:val="Nagłówek Znak"/>
    <w:basedOn w:val="Domylnaczcionkaakapitu"/>
    <w:link w:val="Nagwek"/>
    <w:uiPriority w:val="99"/>
    <w:rsid w:val="008C2E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C2EC1"/>
    <w:pPr>
      <w:tabs>
        <w:tab w:val="center" w:pos="4536"/>
        <w:tab w:val="right" w:pos="9072"/>
      </w:tabs>
    </w:pPr>
  </w:style>
  <w:style w:type="character" w:customStyle="1" w:styleId="StopkaZnak">
    <w:name w:val="Stopka Znak"/>
    <w:basedOn w:val="Domylnaczcionkaakapitu"/>
    <w:link w:val="Stopka"/>
    <w:uiPriority w:val="99"/>
    <w:rsid w:val="008C2EC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5538">
      <w:bodyDiv w:val="1"/>
      <w:marLeft w:val="0"/>
      <w:marRight w:val="0"/>
      <w:marTop w:val="0"/>
      <w:marBottom w:val="0"/>
      <w:divBdr>
        <w:top w:val="none" w:sz="0" w:space="0" w:color="auto"/>
        <w:left w:val="none" w:sz="0" w:space="0" w:color="auto"/>
        <w:bottom w:val="none" w:sz="0" w:space="0" w:color="auto"/>
        <w:right w:val="none" w:sz="0" w:space="0" w:color="auto"/>
      </w:divBdr>
    </w:div>
    <w:div w:id="6270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1783</Words>
  <Characters>10701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4</cp:revision>
  <cp:lastPrinted>2016-05-13T12:18:00Z</cp:lastPrinted>
  <dcterms:created xsi:type="dcterms:W3CDTF">2014-11-26T18:21:00Z</dcterms:created>
  <dcterms:modified xsi:type="dcterms:W3CDTF">2016-05-13T12:18:00Z</dcterms:modified>
</cp:coreProperties>
</file>