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3253" w14:textId="5C6E090E" w:rsidR="006E7195" w:rsidRDefault="0011141A">
      <w:hyperlink r:id="rId4" w:history="1">
        <w:r>
          <w:rPr>
            <w:rStyle w:val="Hipercze"/>
            <w:rFonts w:eastAsia="Times New Roman"/>
          </w:rPr>
          <w:t>https://wybory.gov.pl/sejmsenat2023</w:t>
        </w:r>
      </w:hyperlink>
    </w:p>
    <w:sectPr w:rsidR="006E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F0"/>
    <w:rsid w:val="0011141A"/>
    <w:rsid w:val="006E7195"/>
    <w:rsid w:val="00C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FB06-50BB-485F-B26B-F21C14E6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4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bory.gov.pl/sejmsenat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Lejkowska</dc:creator>
  <cp:keywords/>
  <dc:description/>
  <cp:lastModifiedBy>Małgorzata Lejkowska</cp:lastModifiedBy>
  <cp:revision>2</cp:revision>
  <dcterms:created xsi:type="dcterms:W3CDTF">2023-08-29T05:27:00Z</dcterms:created>
  <dcterms:modified xsi:type="dcterms:W3CDTF">2023-08-29T05:28:00Z</dcterms:modified>
</cp:coreProperties>
</file>